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083" w:rsidRDefault="009F7378" w:rsidP="00DC7D80">
      <w:pPr>
        <w:pStyle w:val="Text"/>
        <w:rPr>
          <w:b/>
          <w:color w:val="003C8A"/>
          <w:sz w:val="36"/>
          <w:szCs w:val="40"/>
          <w:lang w:val="en-US"/>
        </w:rPr>
      </w:pPr>
      <w:r w:rsidRPr="00410FAC">
        <w:rPr>
          <w:b/>
          <w:color w:val="003C8A"/>
          <w:sz w:val="36"/>
          <w:szCs w:val="40"/>
          <w:lang w:val="en-US"/>
        </w:rPr>
        <w:t>The new power order</w:t>
      </w:r>
    </w:p>
    <w:p w:rsidR="00410FAC" w:rsidRPr="00374971" w:rsidRDefault="00410FAC" w:rsidP="00DC7D80">
      <w:pPr>
        <w:pStyle w:val="Text"/>
        <w:rPr>
          <w:lang w:val="en-US"/>
        </w:rPr>
      </w:pPr>
    </w:p>
    <w:p w:rsidR="00DC7D80" w:rsidRPr="00374971" w:rsidRDefault="00DC7D80" w:rsidP="00DC7D80">
      <w:pPr>
        <w:pStyle w:val="Text"/>
        <w:rPr>
          <w:lang w:val="en-US"/>
        </w:rPr>
      </w:pPr>
      <w:proofErr w:type="spellStart"/>
      <w:r w:rsidRPr="00374971">
        <w:rPr>
          <w:lang w:val="en-US"/>
        </w:rPr>
        <w:t>Benfeld</w:t>
      </w:r>
      <w:proofErr w:type="spellEnd"/>
      <w:r w:rsidRPr="00374971">
        <w:rPr>
          <w:lang w:val="en-US"/>
        </w:rPr>
        <w:t xml:space="preserve">, </w:t>
      </w:r>
      <w:r w:rsidR="00410FAC">
        <w:rPr>
          <w:lang w:val="en-US"/>
        </w:rPr>
        <w:t>June</w:t>
      </w:r>
      <w:r w:rsidR="00374971">
        <w:rPr>
          <w:lang w:val="en-US"/>
        </w:rPr>
        <w:t xml:space="preserve"> </w:t>
      </w:r>
      <w:r w:rsidR="00410FAC">
        <w:rPr>
          <w:lang w:val="en-US"/>
        </w:rPr>
        <w:t>12</w:t>
      </w:r>
      <w:r w:rsidR="00374971">
        <w:rPr>
          <w:lang w:val="en-US"/>
        </w:rPr>
        <w:t>, 2019</w:t>
      </w:r>
    </w:p>
    <w:p w:rsidR="009F7378" w:rsidRPr="00D4200C" w:rsidRDefault="009F7378" w:rsidP="00FB4A7B">
      <w:pPr>
        <w:pStyle w:val="Sous-titre1"/>
        <w:rPr>
          <w:lang w:val="en-GB" w:eastAsia="fr-FR"/>
        </w:rPr>
      </w:pPr>
      <w:r w:rsidRPr="009F7378">
        <w:rPr>
          <w:i/>
          <w:lang w:val="en-US"/>
        </w:rPr>
        <w:t xml:space="preserve">Critical equipment within Data </w:t>
      </w:r>
      <w:proofErr w:type="spellStart"/>
      <w:r w:rsidRPr="009F7378">
        <w:rPr>
          <w:i/>
          <w:lang w:val="en-US"/>
        </w:rPr>
        <w:t>Centres</w:t>
      </w:r>
      <w:proofErr w:type="spellEnd"/>
      <w:r w:rsidRPr="009F7378">
        <w:rPr>
          <w:i/>
          <w:lang w:val="en-US"/>
        </w:rPr>
        <w:t xml:space="preserve"> and other demanding applications requires high quality energy which – in turn – is dependent upon a faultless and continuous power supply.  </w:t>
      </w:r>
    </w:p>
    <w:p w:rsidR="009F7378" w:rsidRDefault="009F7378" w:rsidP="00FB4A7B">
      <w:pPr>
        <w:pStyle w:val="Sous-titre1"/>
        <w:rPr>
          <w:b w:val="0"/>
          <w:lang w:val="en-GB"/>
        </w:rPr>
      </w:pPr>
      <w:r>
        <w:rPr>
          <w:b w:val="0"/>
          <w:noProof/>
          <w:lang w:val="en-US"/>
        </w:rPr>
        <w:drawing>
          <wp:inline distT="0" distB="0" distL="0" distR="0">
            <wp:extent cx="6646545" cy="1297940"/>
            <wp:effectExtent l="0" t="0" r="190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CO_1024x200.jpg"/>
                    <pic:cNvPicPr/>
                  </pic:nvPicPr>
                  <pic:blipFill>
                    <a:blip r:embed="rId8">
                      <a:extLst>
                        <a:ext uri="{28A0092B-C50C-407E-A947-70E740481C1C}">
                          <a14:useLocalDpi xmlns:a14="http://schemas.microsoft.com/office/drawing/2010/main" val="0"/>
                        </a:ext>
                      </a:extLst>
                    </a:blip>
                    <a:stretch>
                      <a:fillRect/>
                    </a:stretch>
                  </pic:blipFill>
                  <pic:spPr>
                    <a:xfrm>
                      <a:off x="0" y="0"/>
                      <a:ext cx="6646545" cy="1297940"/>
                    </a:xfrm>
                    <a:prstGeom prst="rect">
                      <a:avLst/>
                    </a:prstGeom>
                  </pic:spPr>
                </pic:pic>
              </a:graphicData>
            </a:graphic>
          </wp:inline>
        </w:drawing>
      </w:r>
    </w:p>
    <w:p w:rsidR="008A4B53" w:rsidRPr="009F7378" w:rsidRDefault="009F7378" w:rsidP="00FB4A7B">
      <w:pPr>
        <w:pStyle w:val="Sous-titre1"/>
        <w:rPr>
          <w:b w:val="0"/>
          <w:lang w:val="en-GB"/>
        </w:rPr>
      </w:pPr>
      <w:r w:rsidRPr="009F7378">
        <w:rPr>
          <w:b w:val="0"/>
          <w:lang w:val="en-GB"/>
        </w:rPr>
        <w:t>Every organisation is concerned with the protection of people and assets - whilst also ensuring that operational and business continuity is achieved – but planning and commissioning UPS infrastructure to support those objectives can challenge even the most experienced professionals.</w:t>
      </w:r>
    </w:p>
    <w:p w:rsidR="00152125" w:rsidRPr="00410FAC" w:rsidRDefault="00152125" w:rsidP="00E10C25">
      <w:pPr>
        <w:pStyle w:val="Bullets1"/>
        <w:numPr>
          <w:ilvl w:val="0"/>
          <w:numId w:val="0"/>
        </w:numPr>
        <w:ind w:left="9"/>
        <w:rPr>
          <w:lang w:val="en-US"/>
        </w:rPr>
      </w:pPr>
    </w:p>
    <w:p w:rsidR="008A4B53" w:rsidRPr="009F7378" w:rsidRDefault="00410FAC" w:rsidP="008A4B53">
      <w:pPr>
        <w:pStyle w:val="Bullets1"/>
        <w:numPr>
          <w:ilvl w:val="0"/>
          <w:numId w:val="0"/>
        </w:numPr>
        <w:ind w:left="9"/>
        <w:jc w:val="both"/>
        <w:rPr>
          <w:b/>
        </w:rPr>
      </w:pPr>
      <w:r w:rsidRPr="009F7378">
        <w:rPr>
          <w:b/>
        </w:rPr>
        <w:t>The team at Socomec have now made it easier than ever to plan and commission a new system.</w:t>
      </w:r>
    </w:p>
    <w:p w:rsidR="00410FAC" w:rsidRDefault="00410FAC" w:rsidP="008A4B53">
      <w:pPr>
        <w:pStyle w:val="Bullets1"/>
        <w:numPr>
          <w:ilvl w:val="0"/>
          <w:numId w:val="0"/>
        </w:numPr>
        <w:ind w:left="9"/>
        <w:jc w:val="both"/>
        <w:rPr>
          <w:lang w:val="en-GB"/>
        </w:rPr>
      </w:pPr>
    </w:p>
    <w:p w:rsidR="00456840" w:rsidRDefault="00456840" w:rsidP="008A4B53">
      <w:pPr>
        <w:pStyle w:val="Bullets1"/>
        <w:numPr>
          <w:ilvl w:val="0"/>
          <w:numId w:val="0"/>
        </w:numPr>
        <w:ind w:left="9"/>
        <w:jc w:val="both"/>
        <w:rPr>
          <w:color w:val="E36C0A" w:themeColor="accent6" w:themeShade="BF"/>
          <w:lang w:val="en-GB"/>
        </w:rPr>
      </w:pPr>
      <w:r>
        <w:rPr>
          <w:color w:val="E36C0A" w:themeColor="accent6" w:themeShade="BF"/>
          <w:lang w:val="en-GB"/>
        </w:rPr>
        <w:t xml:space="preserve">[PLEASE INSERT A QUOTATION BY SOMEONE INTERNAL. </w:t>
      </w:r>
      <w:proofErr w:type="gramStart"/>
      <w:r>
        <w:rPr>
          <w:color w:val="E36C0A" w:themeColor="accent6" w:themeShade="BF"/>
          <w:lang w:val="en-GB"/>
        </w:rPr>
        <w:t>SEE EXAMPLE IN ORANGE].</w:t>
      </w:r>
      <w:proofErr w:type="gramEnd"/>
      <w:r>
        <w:rPr>
          <w:color w:val="E36C0A" w:themeColor="accent6" w:themeShade="BF"/>
          <w:lang w:val="en-GB"/>
        </w:rPr>
        <w:t xml:space="preserve"> </w:t>
      </w:r>
    </w:p>
    <w:p w:rsidR="00410FAC" w:rsidRPr="00456840" w:rsidRDefault="00410FAC" w:rsidP="008A4B53">
      <w:pPr>
        <w:pStyle w:val="Bullets1"/>
        <w:numPr>
          <w:ilvl w:val="0"/>
          <w:numId w:val="0"/>
        </w:numPr>
        <w:ind w:left="9"/>
        <w:jc w:val="both"/>
        <w:rPr>
          <w:color w:val="E36C0A" w:themeColor="accent6" w:themeShade="BF"/>
          <w:lang w:val="en-GB"/>
        </w:rPr>
      </w:pPr>
      <w:r w:rsidRPr="00456840">
        <w:rPr>
          <w:color w:val="E36C0A" w:themeColor="accent6" w:themeShade="BF"/>
          <w:lang w:val="en-GB"/>
        </w:rPr>
        <w:t xml:space="preserve">Colin Dean, Managing Director, </w:t>
      </w:r>
      <w:proofErr w:type="spellStart"/>
      <w:r w:rsidRPr="00456840">
        <w:rPr>
          <w:color w:val="E36C0A" w:themeColor="accent6" w:themeShade="BF"/>
          <w:lang w:val="en-GB"/>
        </w:rPr>
        <w:t>Socomec</w:t>
      </w:r>
      <w:proofErr w:type="spellEnd"/>
      <w:r w:rsidRPr="00456840">
        <w:rPr>
          <w:color w:val="E36C0A" w:themeColor="accent6" w:themeShade="BF"/>
          <w:lang w:val="en-GB"/>
        </w:rPr>
        <w:t xml:space="preserve"> UK explains; “Our customers are our benchmark when it comes to evolving our</w:t>
      </w:r>
      <w:bookmarkStart w:id="0" w:name="_GoBack"/>
      <w:bookmarkEnd w:id="0"/>
      <w:r w:rsidRPr="00456840">
        <w:rPr>
          <w:color w:val="E36C0A" w:themeColor="accent6" w:themeShade="BF"/>
          <w:lang w:val="en-GB"/>
        </w:rPr>
        <w:t xml:space="preserve"> products, solutions and services. Our approach is simple – we’ve done the planning so that you don’t have to.  We have made it simple to choose the right product for your specific needs – according to the level of criticality of the load you want to protect.  Do you want to avoid power failure and keep systems up and running?  Our Prime range is perfect for you.  Would just 1ms of downtime be catastrophic in terms of business continuity – or even risk lives?  Then </w:t>
      </w:r>
      <w:proofErr w:type="gramStart"/>
      <w:r w:rsidRPr="00456840">
        <w:rPr>
          <w:color w:val="E36C0A" w:themeColor="accent6" w:themeShade="BF"/>
          <w:lang w:val="en-GB"/>
        </w:rPr>
        <w:t>Ultimate</w:t>
      </w:r>
      <w:proofErr w:type="gramEnd"/>
      <w:r w:rsidRPr="00456840">
        <w:rPr>
          <w:color w:val="E36C0A" w:themeColor="accent6" w:themeShade="BF"/>
          <w:lang w:val="en-GB"/>
        </w:rPr>
        <w:t xml:space="preserve"> is the level of protection you need.  If you’re not sure, we have created our UPS Selector to help you through your decision.”</w:t>
      </w:r>
    </w:p>
    <w:p w:rsidR="00410FAC" w:rsidRDefault="00410FAC" w:rsidP="008A4B53">
      <w:pPr>
        <w:pStyle w:val="Bullets1"/>
        <w:numPr>
          <w:ilvl w:val="0"/>
          <w:numId w:val="0"/>
        </w:numPr>
        <w:ind w:left="9"/>
        <w:jc w:val="both"/>
        <w:rPr>
          <w:lang w:val="en-GB"/>
        </w:rPr>
      </w:pPr>
    </w:p>
    <w:tbl>
      <w:tblPr>
        <w:tblStyle w:val="Grilledutableau"/>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9299"/>
      </w:tblGrid>
      <w:tr w:rsidR="00410FAC" w:rsidTr="009F7378">
        <w:tc>
          <w:tcPr>
            <w:tcW w:w="1375" w:type="dxa"/>
            <w:vAlign w:val="center"/>
          </w:tcPr>
          <w:p w:rsidR="00410FAC" w:rsidRDefault="00410FAC" w:rsidP="00410FAC">
            <w:pPr>
              <w:pStyle w:val="Bullets1"/>
              <w:numPr>
                <w:ilvl w:val="0"/>
                <w:numId w:val="0"/>
              </w:numPr>
              <w:jc w:val="center"/>
              <w:rPr>
                <w:lang w:val="en-GB"/>
              </w:rPr>
            </w:pPr>
            <w:r>
              <w:rPr>
                <w:noProof/>
                <w:lang w:val="en-US"/>
              </w:rPr>
              <w:drawing>
                <wp:inline distT="0" distB="0" distL="0" distR="0" wp14:anchorId="549940C8" wp14:editId="16571EDC">
                  <wp:extent cx="720000" cy="720000"/>
                  <wp:effectExtent l="0" t="0" r="444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icto_79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9299" w:type="dxa"/>
          </w:tcPr>
          <w:p w:rsidR="009F7378" w:rsidRDefault="00410FAC" w:rsidP="009F7378">
            <w:pPr>
              <w:pStyle w:val="Bullets1"/>
              <w:numPr>
                <w:ilvl w:val="0"/>
                <w:numId w:val="0"/>
              </w:numPr>
              <w:ind w:left="9"/>
              <w:jc w:val="both"/>
              <w:rPr>
                <w:lang w:val="en-GB"/>
              </w:rPr>
            </w:pPr>
            <w:proofErr w:type="spellStart"/>
            <w:r w:rsidRPr="009F7378">
              <w:rPr>
                <w:b/>
                <w:sz w:val="22"/>
                <w:szCs w:val="22"/>
                <w:lang w:val="en-GB"/>
              </w:rPr>
              <w:t>Socomec’s</w:t>
            </w:r>
            <w:proofErr w:type="spellEnd"/>
            <w:r w:rsidRPr="009F7378">
              <w:rPr>
                <w:b/>
                <w:sz w:val="22"/>
                <w:szCs w:val="22"/>
                <w:lang w:val="en-GB"/>
              </w:rPr>
              <w:t xml:space="preserve"> Prime range</w:t>
            </w:r>
            <w:r w:rsidRPr="009F7378">
              <w:rPr>
                <w:sz w:val="22"/>
                <w:szCs w:val="22"/>
                <w:lang w:val="en-GB"/>
              </w:rPr>
              <w:t xml:space="preserve"> delivers reliable and cost-effective protection that assures operational continuity.  This is on-budget protection for business-critical infrastructure.  Efficiency and availability are guaranteed, even in the event of a power outage, hardware failure or other unforeseen disruption, whilst minimising operational costs and making next generation technology accessible to all.</w:t>
            </w:r>
          </w:p>
        </w:tc>
      </w:tr>
    </w:tbl>
    <w:p w:rsidR="009F7378" w:rsidRDefault="009F7378" w:rsidP="009F7378">
      <w:pPr>
        <w:pStyle w:val="Bullets1"/>
        <w:numPr>
          <w:ilvl w:val="0"/>
          <w:numId w:val="0"/>
        </w:numPr>
        <w:jc w:val="both"/>
        <w:rPr>
          <w:lang w:val="en-GB"/>
        </w:rPr>
      </w:pPr>
    </w:p>
    <w:p w:rsidR="009F7378" w:rsidRPr="00410FAC" w:rsidRDefault="009F7378" w:rsidP="009F7378">
      <w:pPr>
        <w:pStyle w:val="Bullets1"/>
        <w:numPr>
          <w:ilvl w:val="0"/>
          <w:numId w:val="0"/>
        </w:numPr>
        <w:ind w:left="786" w:hanging="360"/>
        <w:jc w:val="both"/>
        <w:rPr>
          <w:lang w:val="en-GB"/>
        </w:rPr>
      </w:pPr>
    </w:p>
    <w:tbl>
      <w:tblPr>
        <w:tblStyle w:val="Grilledutableau"/>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9299"/>
      </w:tblGrid>
      <w:tr w:rsidR="00410FAC" w:rsidTr="009F7378">
        <w:tc>
          <w:tcPr>
            <w:tcW w:w="1375" w:type="dxa"/>
            <w:vAlign w:val="center"/>
          </w:tcPr>
          <w:p w:rsidR="00410FAC" w:rsidRDefault="00410FAC" w:rsidP="009F7378">
            <w:pPr>
              <w:pStyle w:val="Bullets1"/>
              <w:numPr>
                <w:ilvl w:val="0"/>
                <w:numId w:val="0"/>
              </w:numPr>
              <w:rPr>
                <w:lang w:val="en-GB"/>
              </w:rPr>
            </w:pPr>
            <w:r>
              <w:rPr>
                <w:noProof/>
                <w:lang w:val="en-US"/>
              </w:rPr>
              <w:drawing>
                <wp:inline distT="0" distB="0" distL="0" distR="0" wp14:anchorId="348A62EA" wp14:editId="3C016C6C">
                  <wp:extent cx="720000" cy="720000"/>
                  <wp:effectExtent l="0" t="0" r="4445"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picto79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9299" w:type="dxa"/>
          </w:tcPr>
          <w:p w:rsidR="00410FAC" w:rsidRDefault="00410FAC" w:rsidP="009F7378">
            <w:pPr>
              <w:pStyle w:val="Bullets1"/>
              <w:numPr>
                <w:ilvl w:val="0"/>
                <w:numId w:val="0"/>
              </w:numPr>
              <w:ind w:left="9"/>
              <w:jc w:val="both"/>
              <w:rPr>
                <w:lang w:val="en-GB"/>
              </w:rPr>
            </w:pPr>
            <w:r w:rsidRPr="009F7378">
              <w:rPr>
                <w:sz w:val="22"/>
                <w:szCs w:val="22"/>
                <w:lang w:val="en-GB"/>
              </w:rPr>
              <w:t xml:space="preserve">The </w:t>
            </w:r>
            <w:r w:rsidRPr="009F7378">
              <w:rPr>
                <w:b/>
                <w:sz w:val="22"/>
                <w:szCs w:val="22"/>
                <w:lang w:val="en-GB"/>
              </w:rPr>
              <w:t>Superior range</w:t>
            </w:r>
            <w:r w:rsidRPr="009F7378">
              <w:rPr>
                <w:sz w:val="22"/>
                <w:szCs w:val="22"/>
                <w:lang w:val="en-GB"/>
              </w:rPr>
              <w:t xml:space="preserve"> delivers unrivalled power performance – best in class and certified – to optimise usage and TCO.  These systems ensure the availability of high-quality energy - and system resilience - in mission-critical infrastructure, helping to deliver the performance objectives for the organisation whilst also guaranteeing safety and minimising operational costs.  Fit for the future, these systems help to optimise equipment lifespan, maximise operational uptime and deliver a fast return on investment.</w:t>
            </w:r>
          </w:p>
        </w:tc>
      </w:tr>
    </w:tbl>
    <w:p w:rsidR="00410FAC" w:rsidRDefault="00410FAC" w:rsidP="00410FAC">
      <w:pPr>
        <w:pStyle w:val="Bullets1"/>
        <w:numPr>
          <w:ilvl w:val="0"/>
          <w:numId w:val="0"/>
        </w:numPr>
        <w:ind w:left="9"/>
        <w:jc w:val="both"/>
        <w:rPr>
          <w:lang w:val="en-GB"/>
        </w:rPr>
      </w:pPr>
    </w:p>
    <w:p w:rsidR="009F7378" w:rsidRDefault="009F7378" w:rsidP="00410FAC">
      <w:pPr>
        <w:pStyle w:val="Bullets1"/>
        <w:numPr>
          <w:ilvl w:val="0"/>
          <w:numId w:val="0"/>
        </w:numPr>
        <w:ind w:left="9"/>
        <w:jc w:val="both"/>
        <w:rPr>
          <w:lang w:val="en-GB"/>
        </w:rPr>
      </w:pPr>
    </w:p>
    <w:tbl>
      <w:tblPr>
        <w:tblStyle w:val="Grilledutableau"/>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9299"/>
      </w:tblGrid>
      <w:tr w:rsidR="009F7378" w:rsidTr="009F7378">
        <w:tc>
          <w:tcPr>
            <w:tcW w:w="1375" w:type="dxa"/>
            <w:vAlign w:val="center"/>
          </w:tcPr>
          <w:p w:rsidR="009F7378" w:rsidRDefault="009F7378" w:rsidP="001E7A43">
            <w:pPr>
              <w:pStyle w:val="Bullets1"/>
              <w:numPr>
                <w:ilvl w:val="0"/>
                <w:numId w:val="0"/>
              </w:numPr>
              <w:jc w:val="center"/>
              <w:rPr>
                <w:lang w:val="en-GB"/>
              </w:rPr>
            </w:pPr>
            <w:r>
              <w:rPr>
                <w:noProof/>
                <w:lang w:val="en-US"/>
              </w:rPr>
              <w:drawing>
                <wp:inline distT="0" distB="0" distL="0" distR="0" wp14:anchorId="28D2D0B8" wp14:editId="3A9DDA24">
                  <wp:extent cx="720011" cy="720000"/>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picto79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0011" cy="720000"/>
                          </a:xfrm>
                          <a:prstGeom prst="rect">
                            <a:avLst/>
                          </a:prstGeom>
                        </pic:spPr>
                      </pic:pic>
                    </a:graphicData>
                  </a:graphic>
                </wp:inline>
              </w:drawing>
            </w:r>
          </w:p>
        </w:tc>
        <w:tc>
          <w:tcPr>
            <w:tcW w:w="9299" w:type="dxa"/>
          </w:tcPr>
          <w:p w:rsidR="009F7378" w:rsidRDefault="009F7378" w:rsidP="009F7378">
            <w:pPr>
              <w:pStyle w:val="Bullets1"/>
              <w:numPr>
                <w:ilvl w:val="0"/>
                <w:numId w:val="0"/>
              </w:numPr>
              <w:ind w:left="9"/>
              <w:jc w:val="both"/>
              <w:rPr>
                <w:lang w:val="en-GB"/>
              </w:rPr>
            </w:pPr>
            <w:r w:rsidRPr="009F7378">
              <w:rPr>
                <w:sz w:val="22"/>
                <w:szCs w:val="22"/>
                <w:lang w:val="en-GB"/>
              </w:rPr>
              <w:t xml:space="preserve">For fault tolerant power without compromise, </w:t>
            </w:r>
            <w:proofErr w:type="spellStart"/>
            <w:r w:rsidRPr="009F7378">
              <w:rPr>
                <w:b/>
                <w:sz w:val="22"/>
                <w:szCs w:val="22"/>
                <w:lang w:val="en-GB"/>
              </w:rPr>
              <w:t>Socomec’s</w:t>
            </w:r>
            <w:proofErr w:type="spellEnd"/>
            <w:r w:rsidRPr="009F7378">
              <w:rPr>
                <w:b/>
                <w:sz w:val="22"/>
                <w:szCs w:val="22"/>
                <w:lang w:val="en-GB"/>
              </w:rPr>
              <w:t xml:space="preserve"> Ultimate range</w:t>
            </w:r>
            <w:r w:rsidRPr="009F7378">
              <w:rPr>
                <w:sz w:val="22"/>
                <w:szCs w:val="22"/>
                <w:lang w:val="en-GB"/>
              </w:rPr>
              <w:t xml:space="preserve"> comprises fully redundant architecture for maximum availability, minimum MTTR and risk-free maintenance - safeguarding the availability of high-performance energy – and people and property - in safety-critical infrastructure.  Security is guaranteed for the most critical loads and challenging operating environments, providing the ultimate protection for critical assets across an entire estate.  Deploying advanced digital functionality, this range comprises the most progressive solutions for electrical infrastructure placed under unprecedented demands – with agility engineered-in.</w:t>
            </w:r>
          </w:p>
        </w:tc>
      </w:tr>
    </w:tbl>
    <w:p w:rsidR="00456840" w:rsidRDefault="00456840">
      <w:pPr>
        <w:rPr>
          <w:rFonts w:ascii="Arial" w:hAnsi="Arial" w:cs="Arial"/>
          <w:b/>
          <w:color w:val="000000" w:themeColor="text1"/>
          <w:lang w:val="it-IT"/>
        </w:rPr>
      </w:pPr>
      <w:r>
        <w:rPr>
          <w:b/>
        </w:rPr>
        <w:br w:type="page"/>
      </w:r>
    </w:p>
    <w:p w:rsidR="008A4B53" w:rsidRDefault="00410FAC" w:rsidP="008A4B53">
      <w:pPr>
        <w:pStyle w:val="Bullets1"/>
        <w:numPr>
          <w:ilvl w:val="0"/>
          <w:numId w:val="0"/>
        </w:numPr>
        <w:ind w:left="9"/>
        <w:jc w:val="both"/>
        <w:rPr>
          <w:b/>
        </w:rPr>
      </w:pPr>
      <w:r w:rsidRPr="00410FAC">
        <w:rPr>
          <w:b/>
        </w:rPr>
        <w:lastRenderedPageBreak/>
        <w:t>Reliable power performance in mission critical infrastructure</w:t>
      </w:r>
    </w:p>
    <w:p w:rsidR="00410FAC" w:rsidRPr="005A6FF3" w:rsidRDefault="00410FAC" w:rsidP="008A4B53">
      <w:pPr>
        <w:pStyle w:val="Bullets1"/>
        <w:numPr>
          <w:ilvl w:val="0"/>
          <w:numId w:val="0"/>
        </w:numPr>
        <w:ind w:left="9"/>
        <w:jc w:val="both"/>
        <w:rPr>
          <w:lang w:val="en-US"/>
        </w:rPr>
      </w:pPr>
    </w:p>
    <w:p w:rsidR="00410FAC" w:rsidRDefault="00410FAC" w:rsidP="00410FAC">
      <w:pPr>
        <w:pStyle w:val="Bullets1"/>
        <w:numPr>
          <w:ilvl w:val="0"/>
          <w:numId w:val="0"/>
        </w:numPr>
        <w:jc w:val="both"/>
        <w:rPr>
          <w:lang w:val="en-US"/>
        </w:rPr>
      </w:pPr>
      <w:r w:rsidRPr="00410FAC">
        <w:rPr>
          <w:lang w:val="en-US"/>
        </w:rPr>
        <w:t xml:space="preserve">The primary goal of every UPS system is to ensure power availability.  To achieve maximum availability, it’s necessary to deliver high reliability (Mean Time </w:t>
      </w:r>
      <w:proofErr w:type="gramStart"/>
      <w:r w:rsidRPr="00410FAC">
        <w:rPr>
          <w:lang w:val="en-US"/>
        </w:rPr>
        <w:t>Before</w:t>
      </w:r>
      <w:proofErr w:type="gramEnd"/>
      <w:r w:rsidRPr="00410FAC">
        <w:rPr>
          <w:lang w:val="en-US"/>
        </w:rPr>
        <w:t xml:space="preserve"> Failure) and to reduce repair times as far as possible.</w:t>
      </w:r>
      <w:r w:rsidR="007C78D4">
        <w:rPr>
          <w:lang w:val="en-US"/>
        </w:rPr>
        <w:t xml:space="preserve"> </w:t>
      </w:r>
      <w:r w:rsidRPr="00410FAC">
        <w:rPr>
          <w:lang w:val="en-US"/>
        </w:rPr>
        <w:t>By combining know-how, material quality, design margin and excellence throughout the entire production process, it is possible to deliver a result that exceeds the market standards with a MTBF VFI officially certified for over 350,000 hours.</w:t>
      </w:r>
    </w:p>
    <w:p w:rsidR="00410FAC" w:rsidRDefault="00410FAC" w:rsidP="00410FAC">
      <w:pPr>
        <w:pStyle w:val="Bullets1"/>
        <w:numPr>
          <w:ilvl w:val="0"/>
          <w:numId w:val="0"/>
        </w:numPr>
        <w:jc w:val="both"/>
        <w:rPr>
          <w:lang w:val="en-US"/>
        </w:rPr>
      </w:pPr>
    </w:p>
    <w:p w:rsidR="00410FAC" w:rsidRDefault="00410FAC" w:rsidP="00410FAC">
      <w:pPr>
        <w:pStyle w:val="Bullets1"/>
        <w:numPr>
          <w:ilvl w:val="0"/>
          <w:numId w:val="0"/>
        </w:numPr>
        <w:jc w:val="both"/>
        <w:rPr>
          <w:lang w:val="en-US"/>
        </w:rPr>
      </w:pPr>
      <w:r w:rsidRPr="00410FAC">
        <w:rPr>
          <w:lang w:val="en-US"/>
        </w:rPr>
        <w:t xml:space="preserve">One such system – the latest addition to the </w:t>
      </w:r>
      <w:proofErr w:type="spellStart"/>
      <w:r w:rsidRPr="00410FAC">
        <w:rPr>
          <w:lang w:val="en-US"/>
        </w:rPr>
        <w:t>Socomec</w:t>
      </w:r>
      <w:proofErr w:type="spellEnd"/>
      <w:r w:rsidRPr="00410FAC">
        <w:rPr>
          <w:lang w:val="en-US"/>
        </w:rPr>
        <w:t xml:space="preserve"> </w:t>
      </w:r>
      <w:r w:rsidR="007C78D4" w:rsidRPr="00410FAC">
        <w:rPr>
          <w:lang w:val="en-US"/>
        </w:rPr>
        <w:t xml:space="preserve">MASTERYS </w:t>
      </w:r>
      <w:r w:rsidRPr="00410FAC">
        <w:rPr>
          <w:lang w:val="en-US"/>
        </w:rPr>
        <w:t>GP4 range - is a three</w:t>
      </w:r>
      <w:r w:rsidR="007C78D4">
        <w:rPr>
          <w:lang w:val="en-US"/>
        </w:rPr>
        <w:t>-</w:t>
      </w:r>
      <w:r w:rsidRPr="00410FAC">
        <w:rPr>
          <w:lang w:val="en-US"/>
        </w:rPr>
        <w:t xml:space="preserve">phase, medium power UPS, 10 – 160kVA/kW, designed in </w:t>
      </w:r>
      <w:proofErr w:type="spellStart"/>
      <w:r w:rsidRPr="00410FAC">
        <w:rPr>
          <w:lang w:val="en-US"/>
        </w:rPr>
        <w:t>Socomec’s</w:t>
      </w:r>
      <w:proofErr w:type="spellEnd"/>
      <w:r w:rsidRPr="00410FAC">
        <w:rPr>
          <w:lang w:val="en-US"/>
        </w:rPr>
        <w:t xml:space="preserve"> European Centre of Excellence specifically for the needs of small and medium Data </w:t>
      </w:r>
      <w:proofErr w:type="spellStart"/>
      <w:r w:rsidRPr="00410FAC">
        <w:rPr>
          <w:lang w:val="en-US"/>
        </w:rPr>
        <w:t>Centres</w:t>
      </w:r>
      <w:proofErr w:type="spellEnd"/>
      <w:r w:rsidRPr="00410FAC">
        <w:rPr>
          <w:lang w:val="en-US"/>
        </w:rPr>
        <w:t xml:space="preserve"> and Edge Data </w:t>
      </w:r>
      <w:proofErr w:type="spellStart"/>
      <w:r w:rsidRPr="00410FAC">
        <w:rPr>
          <w:lang w:val="en-US"/>
        </w:rPr>
        <w:t>Centres</w:t>
      </w:r>
      <w:proofErr w:type="spellEnd"/>
      <w:r w:rsidRPr="00410FAC">
        <w:rPr>
          <w:lang w:val="en-US"/>
        </w:rPr>
        <w:t xml:space="preserve">.  </w:t>
      </w:r>
      <w:proofErr w:type="gramStart"/>
      <w:r w:rsidRPr="00410FAC">
        <w:rPr>
          <w:lang w:val="en-US"/>
        </w:rPr>
        <w:t>Also ideal for banks, e-medical and medical device applications, telecoms and media infrastructure and transport and control rooms.</w:t>
      </w:r>
      <w:proofErr w:type="gramEnd"/>
    </w:p>
    <w:p w:rsidR="00410FAC" w:rsidRDefault="00410FAC" w:rsidP="00410FAC">
      <w:pPr>
        <w:pStyle w:val="Bullets1"/>
        <w:numPr>
          <w:ilvl w:val="0"/>
          <w:numId w:val="0"/>
        </w:numPr>
        <w:jc w:val="both"/>
        <w:rPr>
          <w:lang w:val="en-US"/>
        </w:rPr>
      </w:pPr>
    </w:p>
    <w:p w:rsidR="00410FAC" w:rsidRDefault="00410FAC" w:rsidP="00410FAC">
      <w:pPr>
        <w:pStyle w:val="Bullets1"/>
        <w:numPr>
          <w:ilvl w:val="0"/>
          <w:numId w:val="0"/>
        </w:numPr>
        <w:jc w:val="both"/>
        <w:rPr>
          <w:lang w:val="en-US"/>
        </w:rPr>
      </w:pPr>
      <w:r w:rsidRPr="00456840">
        <w:rPr>
          <w:color w:val="E36C0A" w:themeColor="accent6" w:themeShade="BF"/>
          <w:lang w:val="en-US"/>
        </w:rPr>
        <w:t xml:space="preserve">Colin Dean </w:t>
      </w:r>
      <w:r w:rsidRPr="00410FAC">
        <w:rPr>
          <w:lang w:val="en-US"/>
        </w:rPr>
        <w:t xml:space="preserve">continues; “We have developed the latest </w:t>
      </w:r>
      <w:r w:rsidR="007C78D4" w:rsidRPr="00410FAC">
        <w:rPr>
          <w:lang w:val="en-US"/>
        </w:rPr>
        <w:t xml:space="preserve">MASTERYS </w:t>
      </w:r>
      <w:r w:rsidRPr="00410FAC">
        <w:rPr>
          <w:lang w:val="en-US"/>
        </w:rPr>
        <w:t xml:space="preserve">GP4 with a tailor-made approach.  It’s easy to configure the final solution by choosing from a large catalogue of base options – with over 20 choices of brick and accessory, flexible battery run-times and types and parallel configuration of up to 6 units. The manufacturing plant is </w:t>
      </w:r>
      <w:proofErr w:type="spellStart"/>
      <w:r w:rsidRPr="00410FAC">
        <w:rPr>
          <w:lang w:val="en-US"/>
        </w:rPr>
        <w:t>organised</w:t>
      </w:r>
      <w:proofErr w:type="spellEnd"/>
      <w:r w:rsidRPr="00410FAC">
        <w:rPr>
          <w:lang w:val="en-US"/>
        </w:rPr>
        <w:t xml:space="preserve"> to remain efficient, whilst managing product </w:t>
      </w:r>
      <w:proofErr w:type="spellStart"/>
      <w:r w:rsidRPr="00410FAC">
        <w:rPr>
          <w:lang w:val="en-US"/>
        </w:rPr>
        <w:t>personalisation</w:t>
      </w:r>
      <w:proofErr w:type="spellEnd"/>
      <w:r w:rsidRPr="00410FAC">
        <w:rPr>
          <w:lang w:val="en-US"/>
        </w:rPr>
        <w:t xml:space="preserve"> and guaranteeing very short lead times.”</w:t>
      </w:r>
    </w:p>
    <w:p w:rsidR="00410FAC" w:rsidRDefault="00410FAC" w:rsidP="00410FAC">
      <w:pPr>
        <w:pStyle w:val="Bullets1"/>
        <w:numPr>
          <w:ilvl w:val="0"/>
          <w:numId w:val="0"/>
        </w:numPr>
        <w:jc w:val="both"/>
        <w:rPr>
          <w:lang w:val="en-US"/>
        </w:rPr>
      </w:pPr>
    </w:p>
    <w:p w:rsidR="00410FAC" w:rsidRDefault="00410FAC" w:rsidP="00410FAC">
      <w:pPr>
        <w:pStyle w:val="Bullets1"/>
        <w:numPr>
          <w:ilvl w:val="0"/>
          <w:numId w:val="0"/>
        </w:numPr>
        <w:jc w:val="both"/>
        <w:rPr>
          <w:lang w:val="en-US"/>
        </w:rPr>
      </w:pPr>
      <w:r w:rsidRPr="00410FAC">
        <w:rPr>
          <w:lang w:val="en-US"/>
        </w:rPr>
        <w:t xml:space="preserve">Fit for the future, the intelligent design has long life expectancy and officially attested MTBF – whilst also anticipating eco-regulations.  With embedded digital technology, this </w:t>
      </w:r>
      <w:proofErr w:type="spellStart"/>
      <w:r w:rsidRPr="00410FAC">
        <w:rPr>
          <w:lang w:val="en-US"/>
        </w:rPr>
        <w:t>IoT</w:t>
      </w:r>
      <w:proofErr w:type="spellEnd"/>
      <w:r w:rsidRPr="00410FAC">
        <w:rPr>
          <w:lang w:val="en-US"/>
        </w:rPr>
        <w:t>-ready device enables access to connected services and is easily integrated in the LAN/WAN and virtual environment.</w:t>
      </w:r>
    </w:p>
    <w:p w:rsidR="00410FAC" w:rsidRDefault="00410FAC" w:rsidP="00410FAC">
      <w:pPr>
        <w:pStyle w:val="Bullets1"/>
        <w:numPr>
          <w:ilvl w:val="0"/>
          <w:numId w:val="0"/>
        </w:numPr>
        <w:jc w:val="both"/>
        <w:rPr>
          <w:lang w:val="en-US"/>
        </w:rPr>
      </w:pPr>
    </w:p>
    <w:p w:rsidR="00410FAC" w:rsidRDefault="00410FAC" w:rsidP="00410FAC">
      <w:pPr>
        <w:pStyle w:val="Bullets1"/>
        <w:numPr>
          <w:ilvl w:val="0"/>
          <w:numId w:val="0"/>
        </w:numPr>
        <w:jc w:val="both"/>
        <w:rPr>
          <w:lang w:val="en-US"/>
        </w:rPr>
      </w:pPr>
      <w:r w:rsidRPr="00410FAC">
        <w:rPr>
          <w:lang w:val="en-US"/>
        </w:rPr>
        <w:t xml:space="preserve">The architecture of the new </w:t>
      </w:r>
      <w:r w:rsidR="000347E1">
        <w:rPr>
          <w:lang w:val="en-US"/>
        </w:rPr>
        <w:t>MASTERYS</w:t>
      </w:r>
      <w:r w:rsidRPr="00410FAC">
        <w:rPr>
          <w:lang w:val="en-US"/>
        </w:rPr>
        <w:t xml:space="preserve"> UPS means that when maintenance is required, it’s fast and simple with front access and rapid repairs 5 times faster than legacy UPS systems.</w:t>
      </w:r>
    </w:p>
    <w:p w:rsidR="00410FAC" w:rsidRDefault="00410FAC" w:rsidP="00410FAC">
      <w:pPr>
        <w:pStyle w:val="Bullets1"/>
        <w:numPr>
          <w:ilvl w:val="0"/>
          <w:numId w:val="0"/>
        </w:numPr>
        <w:jc w:val="both"/>
        <w:rPr>
          <w:lang w:val="en-US"/>
        </w:rPr>
      </w:pPr>
    </w:p>
    <w:p w:rsidR="009F7378" w:rsidRDefault="00410FAC" w:rsidP="007C78D4">
      <w:pPr>
        <w:pStyle w:val="Bullets1"/>
        <w:numPr>
          <w:ilvl w:val="0"/>
          <w:numId w:val="0"/>
        </w:numPr>
        <w:jc w:val="both"/>
        <w:rPr>
          <w:lang w:val="en-US"/>
        </w:rPr>
      </w:pPr>
      <w:proofErr w:type="spellStart"/>
      <w:r w:rsidRPr="00410FAC">
        <w:rPr>
          <w:lang w:val="en-US"/>
        </w:rPr>
        <w:t>Socomec</w:t>
      </w:r>
      <w:proofErr w:type="spellEnd"/>
      <w:r w:rsidRPr="00410FAC">
        <w:rPr>
          <w:lang w:val="en-US"/>
        </w:rPr>
        <w:t xml:space="preserve"> has also developed two mobile apps to support engineers in the field – </w:t>
      </w:r>
      <w:proofErr w:type="spellStart"/>
      <w:r w:rsidRPr="00410FAC">
        <w:rPr>
          <w:lang w:val="en-US"/>
        </w:rPr>
        <w:t>eWIRE</w:t>
      </w:r>
      <w:proofErr w:type="spellEnd"/>
      <w:r w:rsidRPr="00410FAC">
        <w:rPr>
          <w:lang w:val="en-US"/>
        </w:rPr>
        <w:t xml:space="preserve"> uses augmented reality to guide installation and reporting, and </w:t>
      </w:r>
      <w:proofErr w:type="spellStart"/>
      <w:r w:rsidRPr="00410FAC">
        <w:rPr>
          <w:lang w:val="en-US"/>
        </w:rPr>
        <w:t>SoLive</w:t>
      </w:r>
      <w:proofErr w:type="spellEnd"/>
      <w:r w:rsidRPr="00410FAC">
        <w:rPr>
          <w:lang w:val="en-US"/>
        </w:rPr>
        <w:t xml:space="preserve"> for remote control and anomaly notification.</w:t>
      </w:r>
    </w:p>
    <w:p w:rsidR="007C78D4" w:rsidRDefault="007C78D4" w:rsidP="007C78D4">
      <w:pPr>
        <w:pStyle w:val="Bullets1"/>
        <w:numPr>
          <w:ilvl w:val="0"/>
          <w:numId w:val="0"/>
        </w:numPr>
        <w:jc w:val="both"/>
        <w:rPr>
          <w:lang w:val="en-US"/>
        </w:rPr>
      </w:pPr>
    </w:p>
    <w:p w:rsidR="007C78D4" w:rsidRDefault="007C78D4" w:rsidP="00410FAC">
      <w:pPr>
        <w:pStyle w:val="Bullets1"/>
        <w:numPr>
          <w:ilvl w:val="0"/>
          <w:numId w:val="0"/>
        </w:numPr>
        <w:jc w:val="both"/>
        <w:rPr>
          <w:b/>
        </w:rPr>
      </w:pPr>
    </w:p>
    <w:p w:rsidR="008A4B53" w:rsidRDefault="00410FAC" w:rsidP="00410FAC">
      <w:pPr>
        <w:pStyle w:val="Bullets1"/>
        <w:numPr>
          <w:ilvl w:val="0"/>
          <w:numId w:val="0"/>
        </w:numPr>
        <w:jc w:val="both"/>
        <w:rPr>
          <w:lang w:val="en-GB"/>
        </w:rPr>
      </w:pPr>
      <w:r w:rsidRPr="00410FAC">
        <w:rPr>
          <w:b/>
        </w:rPr>
        <w:t>The benefits of Li-Ion battery technology</w:t>
      </w:r>
    </w:p>
    <w:p w:rsidR="00410FAC" w:rsidRDefault="00410FAC" w:rsidP="00410FAC">
      <w:pPr>
        <w:pStyle w:val="Bullets1"/>
        <w:numPr>
          <w:ilvl w:val="0"/>
          <w:numId w:val="0"/>
        </w:numPr>
        <w:jc w:val="both"/>
        <w:rPr>
          <w:lang w:val="en-US"/>
        </w:rPr>
      </w:pPr>
    </w:p>
    <w:p w:rsidR="00410FAC" w:rsidRDefault="00410FAC" w:rsidP="00410FAC">
      <w:pPr>
        <w:pStyle w:val="Bullets1"/>
        <w:numPr>
          <w:ilvl w:val="0"/>
          <w:numId w:val="0"/>
        </w:numPr>
        <w:jc w:val="both"/>
        <w:rPr>
          <w:lang w:val="en-US"/>
        </w:rPr>
      </w:pPr>
      <w:r w:rsidRPr="00410FAC">
        <w:rPr>
          <w:lang w:val="en-US"/>
        </w:rPr>
        <w:t>Li-Ion batteries deliver significant advantages in UPS applications, thanks to the considerable reduction in weight and floor space for the same runtime, fast recharge times and their long cyclic and calendar lifetime. Moreover, Li-Ion batteries are less sensitive to higher temperatures and require less cooling – therefore reducing associated energy costs.</w:t>
      </w:r>
    </w:p>
    <w:p w:rsidR="00410FAC" w:rsidRDefault="00410FAC" w:rsidP="00410FAC">
      <w:pPr>
        <w:pStyle w:val="Bullets1"/>
        <w:numPr>
          <w:ilvl w:val="0"/>
          <w:numId w:val="0"/>
        </w:numPr>
        <w:jc w:val="both"/>
        <w:rPr>
          <w:lang w:val="en-US"/>
        </w:rPr>
      </w:pPr>
    </w:p>
    <w:p w:rsidR="00410FAC" w:rsidRPr="007C78D4" w:rsidRDefault="00410FAC" w:rsidP="00410FAC">
      <w:pPr>
        <w:pStyle w:val="Bullets1"/>
        <w:numPr>
          <w:ilvl w:val="0"/>
          <w:numId w:val="0"/>
        </w:numPr>
        <w:jc w:val="both"/>
        <w:rPr>
          <w:lang w:val="en-US"/>
        </w:rPr>
      </w:pPr>
      <w:r w:rsidRPr="00410FAC">
        <w:rPr>
          <w:lang w:val="en-US"/>
        </w:rPr>
        <w:t xml:space="preserve">Fully compatible with the Li-Ion Battery, when connected, the new MASTERYS </w:t>
      </w:r>
      <w:proofErr w:type="gramStart"/>
      <w:r w:rsidRPr="00410FAC">
        <w:rPr>
          <w:lang w:val="en-US"/>
        </w:rPr>
        <w:t>includes</w:t>
      </w:r>
      <w:proofErr w:type="gramEnd"/>
      <w:r w:rsidRPr="00410FAC">
        <w:rPr>
          <w:lang w:val="en-US"/>
        </w:rPr>
        <w:t xml:space="preserve"> an interactive control system to check and manage all the Li-Ion cells and system parameters. The UPS interactivity guarantees the most reliable performance and improves the system’s availability by ensuring proper and faster charging of the Li-Ion battery cells, preventing any irreversible overcharge failure, performing automatic corrective actions in case of any critical conditions that can affect battery performance.</w:t>
      </w:r>
    </w:p>
    <w:p w:rsidR="00410FAC" w:rsidRDefault="00410FAC" w:rsidP="00410FAC">
      <w:pPr>
        <w:pStyle w:val="Bullets1"/>
        <w:numPr>
          <w:ilvl w:val="0"/>
          <w:numId w:val="0"/>
        </w:numPr>
        <w:jc w:val="both"/>
        <w:rPr>
          <w:lang w:val="en-GB"/>
        </w:rPr>
      </w:pPr>
    </w:p>
    <w:p w:rsidR="007C78D4" w:rsidRPr="00410FAC" w:rsidRDefault="007C78D4" w:rsidP="00410FAC">
      <w:pPr>
        <w:pStyle w:val="Bullets1"/>
        <w:numPr>
          <w:ilvl w:val="0"/>
          <w:numId w:val="0"/>
        </w:numPr>
        <w:jc w:val="both"/>
        <w:rPr>
          <w:lang w:val="en-GB"/>
        </w:rPr>
      </w:pPr>
    </w:p>
    <w:p w:rsidR="00EF074F" w:rsidRPr="00410FAC" w:rsidRDefault="00EF074F" w:rsidP="00B168A7">
      <w:pPr>
        <w:spacing w:after="0" w:line="240" w:lineRule="auto"/>
        <w:rPr>
          <w:rFonts w:ascii="Arial" w:hAnsi="Arial" w:cs="Arial"/>
          <w:sz w:val="18"/>
          <w:szCs w:val="18"/>
          <w:lang w:val="en-US" w:eastAsia="fr-FR"/>
        </w:rPr>
      </w:pPr>
    </w:p>
    <w:tbl>
      <w:tblPr>
        <w:tblStyle w:val="Grilledutableau"/>
        <w:tblW w:w="105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6"/>
        <w:gridCol w:w="282"/>
        <w:gridCol w:w="2540"/>
      </w:tblGrid>
      <w:tr w:rsidR="00EF074F" w:rsidRPr="00002AE2" w:rsidTr="00647299">
        <w:tc>
          <w:tcPr>
            <w:tcW w:w="7763" w:type="dxa"/>
            <w:shd w:val="clear" w:color="auto" w:fill="auto"/>
          </w:tcPr>
          <w:p w:rsidR="00EF074F" w:rsidRPr="002F45EF" w:rsidRDefault="00EF074F" w:rsidP="00374971">
            <w:pPr>
              <w:spacing w:before="120" w:after="120"/>
              <w:jc w:val="both"/>
              <w:rPr>
                <w:rFonts w:ascii="Arial" w:eastAsia="Times New Roman" w:hAnsi="Arial"/>
                <w:b/>
                <w:bCs/>
                <w:color w:val="003C8A"/>
                <w:sz w:val="21"/>
                <w:szCs w:val="21"/>
                <w:lang w:eastAsia="it-IT"/>
              </w:rPr>
            </w:pPr>
            <w:r w:rsidRPr="002F45EF">
              <w:rPr>
                <w:rFonts w:ascii="Arial" w:eastAsia="Times New Roman" w:hAnsi="Arial"/>
                <w:b/>
                <w:bCs/>
                <w:color w:val="003C8A"/>
                <w:sz w:val="21"/>
                <w:szCs w:val="21"/>
                <w:lang w:eastAsia="it-IT"/>
              </w:rPr>
              <w:t>SOCOMEC</w:t>
            </w:r>
            <w:r w:rsidR="00374971">
              <w:rPr>
                <w:rFonts w:ascii="Arial" w:eastAsia="Times New Roman" w:hAnsi="Arial"/>
                <w:b/>
                <w:bCs/>
                <w:color w:val="003C8A"/>
                <w:sz w:val="21"/>
                <w:szCs w:val="21"/>
                <w:lang w:eastAsia="it-IT"/>
              </w:rPr>
              <w:t>: When energy matters</w:t>
            </w:r>
          </w:p>
        </w:tc>
        <w:tc>
          <w:tcPr>
            <w:tcW w:w="283" w:type="dxa"/>
            <w:shd w:val="clear" w:color="auto" w:fill="auto"/>
          </w:tcPr>
          <w:p w:rsidR="00EF074F" w:rsidRPr="002F45EF" w:rsidRDefault="00EF074F" w:rsidP="00647299">
            <w:pPr>
              <w:spacing w:before="120" w:after="120"/>
              <w:jc w:val="both"/>
              <w:rPr>
                <w:rFonts w:ascii="Arial" w:eastAsia="Times New Roman" w:hAnsi="Arial"/>
                <w:b/>
                <w:bCs/>
                <w:color w:val="003C8A"/>
                <w:sz w:val="21"/>
                <w:szCs w:val="21"/>
                <w:lang w:eastAsia="it-IT"/>
              </w:rPr>
            </w:pPr>
          </w:p>
        </w:tc>
        <w:tc>
          <w:tcPr>
            <w:tcW w:w="2552" w:type="dxa"/>
            <w:shd w:val="clear" w:color="auto" w:fill="auto"/>
          </w:tcPr>
          <w:p w:rsidR="00EF074F" w:rsidRPr="002F45EF" w:rsidRDefault="00460C85" w:rsidP="006027DE">
            <w:pPr>
              <w:spacing w:before="120" w:after="120"/>
              <w:jc w:val="both"/>
              <w:rPr>
                <w:rFonts w:ascii="Arial" w:eastAsia="Times New Roman" w:hAnsi="Arial"/>
                <w:b/>
                <w:bCs/>
                <w:color w:val="003C8A"/>
                <w:sz w:val="21"/>
                <w:szCs w:val="21"/>
                <w:lang w:eastAsia="it-IT"/>
              </w:rPr>
            </w:pPr>
            <w:r>
              <w:rPr>
                <w:rFonts w:ascii="Arial" w:eastAsia="Times New Roman" w:hAnsi="Arial"/>
                <w:b/>
                <w:bCs/>
                <w:color w:val="003C8A"/>
                <w:sz w:val="21"/>
                <w:szCs w:val="21"/>
                <w:lang w:eastAsia="it-IT"/>
              </w:rPr>
              <w:t>Press contact</w:t>
            </w:r>
          </w:p>
        </w:tc>
      </w:tr>
      <w:tr w:rsidR="00EF074F" w:rsidRPr="00071C0A" w:rsidTr="00647299">
        <w:trPr>
          <w:trHeight w:val="1546"/>
        </w:trPr>
        <w:tc>
          <w:tcPr>
            <w:tcW w:w="7763" w:type="dxa"/>
          </w:tcPr>
          <w:p w:rsidR="00374971" w:rsidRPr="00EF074F" w:rsidRDefault="00747E2D" w:rsidP="00374971">
            <w:pPr>
              <w:autoSpaceDE w:val="0"/>
              <w:autoSpaceDN w:val="0"/>
              <w:jc w:val="both"/>
              <w:rPr>
                <w:rFonts w:ascii="Arial" w:eastAsia="Times New Roman" w:hAnsi="Arial"/>
                <w:color w:val="003C8A"/>
                <w:sz w:val="15"/>
                <w:szCs w:val="15"/>
                <w:lang w:val="en-US" w:eastAsia="it-IT"/>
              </w:rPr>
            </w:pPr>
            <w:r w:rsidRPr="00EF074F">
              <w:rPr>
                <w:rFonts w:ascii="Arial" w:eastAsia="Times New Roman" w:hAnsi="Arial"/>
                <w:color w:val="003C8A"/>
                <w:sz w:val="15"/>
                <w:szCs w:val="15"/>
                <w:lang w:val="en-US" w:eastAsia="it-IT"/>
              </w:rPr>
              <w:t xml:space="preserve">Founded in </w:t>
            </w:r>
            <w:r>
              <w:rPr>
                <w:rFonts w:ascii="Arial" w:eastAsia="Times New Roman" w:hAnsi="Arial"/>
                <w:color w:val="003C8A"/>
                <w:sz w:val="15"/>
                <w:szCs w:val="15"/>
                <w:lang w:val="en-US" w:eastAsia="it-IT"/>
              </w:rPr>
              <w:t>1922, SOCOMEC is an independent</w:t>
            </w:r>
            <w:r w:rsidRPr="00EF074F">
              <w:rPr>
                <w:rFonts w:ascii="Arial" w:eastAsia="Times New Roman" w:hAnsi="Arial"/>
                <w:color w:val="003C8A"/>
                <w:sz w:val="15"/>
                <w:szCs w:val="15"/>
                <w:lang w:val="en-US" w:eastAsia="it-IT"/>
              </w:rPr>
              <w:t xml:space="preserve"> industrial group</w:t>
            </w:r>
            <w:r>
              <w:rPr>
                <w:rFonts w:ascii="Arial" w:eastAsia="Times New Roman" w:hAnsi="Arial"/>
                <w:color w:val="003C8A"/>
                <w:sz w:val="15"/>
                <w:szCs w:val="15"/>
                <w:lang w:val="en-US" w:eastAsia="it-IT"/>
              </w:rPr>
              <w:t xml:space="preserve"> with a workforce of 3600 experts spread over 28</w:t>
            </w:r>
            <w:r w:rsidRPr="00EF074F">
              <w:rPr>
                <w:rFonts w:ascii="Arial" w:eastAsia="Times New Roman" w:hAnsi="Arial"/>
                <w:color w:val="003C8A"/>
                <w:sz w:val="15"/>
                <w:szCs w:val="15"/>
                <w:lang w:val="en-US" w:eastAsia="it-IT"/>
              </w:rPr>
              <w:t xml:space="preserve"> subsidiaries in the</w:t>
            </w:r>
            <w:r>
              <w:rPr>
                <w:rFonts w:ascii="Arial" w:eastAsia="Times New Roman" w:hAnsi="Arial"/>
                <w:color w:val="003C8A"/>
                <w:sz w:val="15"/>
                <w:szCs w:val="15"/>
                <w:lang w:val="en-US" w:eastAsia="it-IT"/>
              </w:rPr>
              <w:t xml:space="preserve"> </w:t>
            </w:r>
            <w:r w:rsidRPr="00EF074F">
              <w:rPr>
                <w:rFonts w:ascii="Arial" w:eastAsia="Times New Roman" w:hAnsi="Arial"/>
                <w:color w:val="003C8A"/>
                <w:sz w:val="15"/>
                <w:szCs w:val="15"/>
                <w:lang w:val="en-US" w:eastAsia="it-IT"/>
              </w:rPr>
              <w:t>world. Our core business</w:t>
            </w:r>
            <w:r>
              <w:rPr>
                <w:rFonts w:ascii="Arial" w:eastAsia="Times New Roman" w:hAnsi="Arial"/>
                <w:color w:val="003C8A"/>
                <w:sz w:val="15"/>
                <w:szCs w:val="15"/>
                <w:lang w:val="en-US" w:eastAsia="it-IT"/>
              </w:rPr>
              <w:t>:</w:t>
            </w:r>
            <w:r w:rsidRPr="00EF074F">
              <w:rPr>
                <w:rFonts w:ascii="Arial" w:eastAsia="Times New Roman" w:hAnsi="Arial"/>
                <w:color w:val="003C8A"/>
                <w:sz w:val="15"/>
                <w:szCs w:val="15"/>
                <w:lang w:val="en-US" w:eastAsia="it-IT"/>
              </w:rPr>
              <w:t xml:space="preserve"> the availability, control and safety of low</w:t>
            </w:r>
            <w:r>
              <w:rPr>
                <w:rFonts w:ascii="Arial" w:eastAsia="Times New Roman" w:hAnsi="Arial"/>
                <w:color w:val="003C8A"/>
                <w:sz w:val="15"/>
                <w:szCs w:val="15"/>
                <w:lang w:val="en-US" w:eastAsia="it-IT"/>
              </w:rPr>
              <w:t xml:space="preserve"> </w:t>
            </w:r>
            <w:r w:rsidRPr="00EF074F">
              <w:rPr>
                <w:rFonts w:ascii="Arial" w:eastAsia="Times New Roman" w:hAnsi="Arial"/>
                <w:color w:val="003C8A"/>
                <w:sz w:val="15"/>
                <w:szCs w:val="15"/>
                <w:lang w:val="en-US" w:eastAsia="it-IT"/>
              </w:rPr>
              <w:t xml:space="preserve">voltage electrical networks </w:t>
            </w:r>
            <w:r>
              <w:rPr>
                <w:rFonts w:ascii="Arial" w:eastAsia="Times New Roman" w:hAnsi="Arial"/>
                <w:color w:val="003C8A"/>
                <w:sz w:val="15"/>
                <w:szCs w:val="15"/>
                <w:lang w:val="en-US" w:eastAsia="it-IT"/>
              </w:rPr>
              <w:t>serving</w:t>
            </w:r>
            <w:r w:rsidRPr="00EF074F">
              <w:rPr>
                <w:rFonts w:ascii="Arial" w:eastAsia="Times New Roman" w:hAnsi="Arial"/>
                <w:color w:val="003C8A"/>
                <w:sz w:val="15"/>
                <w:szCs w:val="15"/>
                <w:lang w:val="en-US" w:eastAsia="it-IT"/>
              </w:rPr>
              <w:t xml:space="preserve"> our customers’</w:t>
            </w:r>
            <w:r>
              <w:rPr>
                <w:rFonts w:ascii="Arial" w:eastAsia="Times New Roman" w:hAnsi="Arial"/>
                <w:color w:val="003C8A"/>
                <w:sz w:val="15"/>
                <w:szCs w:val="15"/>
                <w:lang w:val="en-US" w:eastAsia="it-IT"/>
              </w:rPr>
              <w:t xml:space="preserve"> </w:t>
            </w:r>
            <w:r w:rsidRPr="00EF074F">
              <w:rPr>
                <w:rFonts w:ascii="Arial" w:eastAsia="Times New Roman" w:hAnsi="Arial"/>
                <w:color w:val="003C8A"/>
                <w:sz w:val="15"/>
                <w:szCs w:val="15"/>
                <w:lang w:val="en-US" w:eastAsia="it-IT"/>
              </w:rPr>
              <w:t>power performance.</w:t>
            </w:r>
            <w:r>
              <w:rPr>
                <w:rFonts w:ascii="Arial" w:eastAsia="Times New Roman" w:hAnsi="Arial"/>
                <w:color w:val="003C8A"/>
                <w:sz w:val="15"/>
                <w:szCs w:val="15"/>
                <w:lang w:val="en-US" w:eastAsia="it-IT"/>
              </w:rPr>
              <w:t xml:space="preserve"> </w:t>
            </w:r>
            <w:r w:rsidRPr="00EF074F">
              <w:rPr>
                <w:rFonts w:ascii="Arial" w:eastAsia="Times New Roman" w:hAnsi="Arial"/>
                <w:color w:val="003C8A"/>
                <w:sz w:val="15"/>
                <w:szCs w:val="15"/>
                <w:lang w:val="en-US" w:eastAsia="it-IT"/>
              </w:rPr>
              <w:t>In 201</w:t>
            </w:r>
            <w:r>
              <w:rPr>
                <w:rFonts w:ascii="Arial" w:eastAsia="Times New Roman" w:hAnsi="Arial"/>
                <w:color w:val="003C8A"/>
                <w:sz w:val="15"/>
                <w:szCs w:val="15"/>
                <w:lang w:val="en-US" w:eastAsia="it-IT"/>
              </w:rPr>
              <w:t xml:space="preserve">8, </w:t>
            </w:r>
            <w:r w:rsidR="003F71C8">
              <w:rPr>
                <w:rFonts w:ascii="Arial" w:eastAsia="Times New Roman" w:hAnsi="Arial"/>
                <w:color w:val="003C8A"/>
                <w:sz w:val="15"/>
                <w:szCs w:val="15"/>
                <w:lang w:val="en-US" w:eastAsia="it-IT"/>
              </w:rPr>
              <w:t>SOCOMEC posted a turnover of 537</w:t>
            </w:r>
            <w:r w:rsidR="00071C0A" w:rsidRPr="00AA433D">
              <w:rPr>
                <w:rFonts w:ascii="Arial" w:eastAsia="Times New Roman" w:hAnsi="Arial"/>
                <w:color w:val="003C8A"/>
                <w:sz w:val="15"/>
                <w:szCs w:val="15"/>
                <w:lang w:val="en-US" w:eastAsia="it-IT"/>
              </w:rPr>
              <w:t>M</w:t>
            </w:r>
            <w:r>
              <w:rPr>
                <w:rFonts w:ascii="Arial" w:eastAsia="Times New Roman" w:hAnsi="Arial"/>
                <w:color w:val="003C8A"/>
                <w:sz w:val="15"/>
                <w:szCs w:val="15"/>
                <w:lang w:val="en-US" w:eastAsia="it-IT"/>
              </w:rPr>
              <w:t>€</w:t>
            </w:r>
            <w:r w:rsidR="00374971">
              <w:rPr>
                <w:rFonts w:ascii="Arial" w:eastAsia="Times New Roman" w:hAnsi="Arial"/>
                <w:color w:val="003C8A"/>
                <w:sz w:val="15"/>
                <w:szCs w:val="15"/>
                <w:lang w:val="en-US" w:eastAsia="it-IT"/>
              </w:rPr>
              <w:t>*</w:t>
            </w:r>
          </w:p>
          <w:p w:rsidR="00EF074F" w:rsidRPr="006027DE" w:rsidRDefault="00EF074F" w:rsidP="00647299">
            <w:pPr>
              <w:autoSpaceDE w:val="0"/>
              <w:autoSpaceDN w:val="0"/>
              <w:jc w:val="both"/>
              <w:rPr>
                <w:rFonts w:ascii="Arial" w:eastAsia="Times New Roman" w:hAnsi="Arial"/>
                <w:color w:val="003C8A"/>
                <w:sz w:val="15"/>
                <w:szCs w:val="15"/>
                <w:lang w:val="fr-FR" w:eastAsia="it-IT"/>
              </w:rPr>
            </w:pPr>
          </w:p>
          <w:p w:rsidR="00EF074F" w:rsidRPr="002F45EF" w:rsidRDefault="00374971" w:rsidP="00647299">
            <w:pPr>
              <w:autoSpaceDE w:val="0"/>
              <w:autoSpaceDN w:val="0"/>
              <w:jc w:val="both"/>
              <w:rPr>
                <w:rFonts w:ascii="Arial" w:eastAsia="Times New Roman" w:hAnsi="Arial"/>
                <w:color w:val="003C8A"/>
                <w:sz w:val="15"/>
                <w:szCs w:val="15"/>
                <w:lang w:eastAsia="it-IT"/>
              </w:rPr>
            </w:pPr>
            <w:r>
              <w:rPr>
                <w:noProof/>
                <w:lang w:val="en-US"/>
              </w:rPr>
              <w:drawing>
                <wp:inline distT="0" distB="0" distL="0" distR="0" wp14:anchorId="739DE532" wp14:editId="0B6EA421">
                  <wp:extent cx="4800600" cy="678815"/>
                  <wp:effectExtent l="0" t="0" r="0" b="0"/>
                  <wp:docPr id="5" name="Image 5" descr="picto_785_a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_785_a_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0600" cy="678815"/>
                          </a:xfrm>
                          <a:prstGeom prst="rect">
                            <a:avLst/>
                          </a:prstGeom>
                          <a:noFill/>
                          <a:ln>
                            <a:noFill/>
                          </a:ln>
                        </pic:spPr>
                      </pic:pic>
                    </a:graphicData>
                  </a:graphic>
                </wp:inline>
              </w:drawing>
            </w:r>
          </w:p>
        </w:tc>
        <w:tc>
          <w:tcPr>
            <w:tcW w:w="283" w:type="dxa"/>
          </w:tcPr>
          <w:p w:rsidR="00EF074F" w:rsidRPr="002F45EF" w:rsidRDefault="00EF074F" w:rsidP="00647299">
            <w:pPr>
              <w:jc w:val="both"/>
              <w:rPr>
                <w:rFonts w:ascii="Arial" w:eastAsia="Times New Roman" w:hAnsi="Arial"/>
                <w:color w:val="003C8A"/>
                <w:sz w:val="15"/>
                <w:szCs w:val="15"/>
                <w:lang w:eastAsia="it-IT"/>
              </w:rPr>
            </w:pPr>
          </w:p>
        </w:tc>
        <w:tc>
          <w:tcPr>
            <w:tcW w:w="2552" w:type="dxa"/>
          </w:tcPr>
          <w:p w:rsidR="007C78D4" w:rsidRPr="0084643D" w:rsidRDefault="007C78D4" w:rsidP="007C78D4">
            <w:pPr>
              <w:spacing w:after="60"/>
              <w:jc w:val="both"/>
              <w:rPr>
                <w:rFonts w:ascii="Arial" w:eastAsia="Times New Roman" w:hAnsi="Arial"/>
                <w:b/>
                <w:color w:val="003C8A"/>
                <w:sz w:val="15"/>
                <w:szCs w:val="15"/>
                <w:lang w:val="en-US" w:eastAsia="it-IT"/>
              </w:rPr>
            </w:pPr>
            <w:proofErr w:type="spellStart"/>
            <w:r w:rsidRPr="0084643D">
              <w:rPr>
                <w:rFonts w:ascii="Arial" w:eastAsia="Times New Roman" w:hAnsi="Arial"/>
                <w:b/>
                <w:color w:val="003C8A"/>
                <w:sz w:val="15"/>
                <w:szCs w:val="15"/>
                <w:lang w:val="en-US" w:eastAsia="it-IT"/>
              </w:rPr>
              <w:t>Firstname</w:t>
            </w:r>
            <w:proofErr w:type="spellEnd"/>
            <w:r w:rsidRPr="0084643D">
              <w:rPr>
                <w:rFonts w:ascii="Arial" w:eastAsia="Times New Roman" w:hAnsi="Arial"/>
                <w:b/>
                <w:color w:val="003C8A"/>
                <w:sz w:val="15"/>
                <w:szCs w:val="15"/>
                <w:lang w:val="en-US" w:eastAsia="it-IT"/>
              </w:rPr>
              <w:t xml:space="preserve"> </w:t>
            </w:r>
            <w:proofErr w:type="spellStart"/>
            <w:r w:rsidRPr="0084643D">
              <w:rPr>
                <w:rFonts w:ascii="Arial" w:eastAsia="Times New Roman" w:hAnsi="Arial"/>
                <w:b/>
                <w:color w:val="003C8A"/>
                <w:sz w:val="15"/>
                <w:szCs w:val="15"/>
                <w:lang w:val="en-US" w:eastAsia="it-IT"/>
              </w:rPr>
              <w:t>Lastname</w:t>
            </w:r>
            <w:proofErr w:type="spellEnd"/>
          </w:p>
          <w:p w:rsidR="007C78D4" w:rsidRPr="0084643D" w:rsidRDefault="007C78D4" w:rsidP="007C78D4">
            <w:pPr>
              <w:spacing w:after="60"/>
              <w:rPr>
                <w:rFonts w:ascii="Arial" w:eastAsia="Times New Roman" w:hAnsi="Arial"/>
                <w:color w:val="003C8A"/>
                <w:sz w:val="15"/>
                <w:szCs w:val="15"/>
                <w:lang w:val="en-US" w:eastAsia="it-IT"/>
              </w:rPr>
            </w:pPr>
            <w:r w:rsidRPr="0084643D">
              <w:rPr>
                <w:rFonts w:ascii="Arial" w:eastAsia="Times New Roman" w:hAnsi="Arial"/>
                <w:color w:val="003C8A"/>
                <w:sz w:val="15"/>
                <w:szCs w:val="15"/>
                <w:lang w:val="en-US" w:eastAsia="it-IT"/>
              </w:rPr>
              <w:t>Function</w:t>
            </w:r>
          </w:p>
          <w:p w:rsidR="007C78D4" w:rsidRPr="0084643D" w:rsidRDefault="007C78D4" w:rsidP="007C78D4">
            <w:pPr>
              <w:spacing w:after="60"/>
              <w:jc w:val="both"/>
              <w:rPr>
                <w:rFonts w:ascii="Arial" w:eastAsia="Times New Roman" w:hAnsi="Arial"/>
                <w:color w:val="003C8A"/>
                <w:sz w:val="15"/>
                <w:szCs w:val="15"/>
                <w:lang w:val="en-US" w:eastAsia="it-IT"/>
              </w:rPr>
            </w:pPr>
            <w:r w:rsidRPr="0084643D">
              <w:rPr>
                <w:rFonts w:ascii="Arial" w:eastAsia="Times New Roman" w:hAnsi="Arial"/>
                <w:color w:val="003C8A"/>
                <w:sz w:val="15"/>
                <w:szCs w:val="15"/>
                <w:lang w:val="en-US" w:eastAsia="it-IT"/>
              </w:rPr>
              <w:t>Phone number</w:t>
            </w:r>
          </w:p>
          <w:p w:rsidR="007C78D4" w:rsidRPr="00460C85" w:rsidRDefault="007C78D4" w:rsidP="007C78D4">
            <w:pPr>
              <w:spacing w:after="60"/>
              <w:jc w:val="both"/>
              <w:rPr>
                <w:rFonts w:ascii="Arial" w:eastAsia="Times New Roman" w:hAnsi="Arial"/>
                <w:color w:val="003C8A"/>
                <w:sz w:val="15"/>
                <w:szCs w:val="15"/>
                <w:lang w:val="en-US" w:eastAsia="it-IT"/>
              </w:rPr>
            </w:pPr>
            <w:r w:rsidRPr="0084643D">
              <w:rPr>
                <w:rFonts w:ascii="Arial" w:eastAsia="Times New Roman" w:hAnsi="Arial"/>
                <w:color w:val="003C8A"/>
                <w:sz w:val="15"/>
                <w:szCs w:val="15"/>
                <w:lang w:val="en-US" w:eastAsia="it-IT"/>
              </w:rPr>
              <w:t xml:space="preserve">Mobile Number </w:t>
            </w:r>
          </w:p>
          <w:p w:rsidR="007C78D4" w:rsidRPr="00460C85" w:rsidRDefault="009D5D84" w:rsidP="007C78D4">
            <w:pPr>
              <w:jc w:val="both"/>
              <w:rPr>
                <w:rStyle w:val="Lienhypertexte"/>
                <w:rFonts w:ascii="Arial" w:eastAsia="Times New Roman" w:hAnsi="Arial"/>
                <w:sz w:val="15"/>
                <w:szCs w:val="15"/>
                <w:lang w:val="en-US" w:eastAsia="it-IT"/>
              </w:rPr>
            </w:pPr>
            <w:hyperlink r:id="rId13" w:history="1">
              <w:r w:rsidR="007C78D4" w:rsidRPr="00460C85">
                <w:rPr>
                  <w:rStyle w:val="Lienhypertexte"/>
                  <w:rFonts w:ascii="Arial" w:eastAsia="Times New Roman" w:hAnsi="Arial"/>
                  <w:sz w:val="15"/>
                  <w:szCs w:val="15"/>
                  <w:lang w:val="en-US" w:eastAsia="it-IT"/>
                </w:rPr>
                <w:t>xxxxxxxx@socomec.com</w:t>
              </w:r>
            </w:hyperlink>
          </w:p>
          <w:p w:rsidR="007C78D4" w:rsidRDefault="009D5D84" w:rsidP="007C78D4">
            <w:pPr>
              <w:jc w:val="both"/>
              <w:rPr>
                <w:rFonts w:ascii="Arial" w:eastAsia="Times New Roman" w:hAnsi="Arial"/>
                <w:sz w:val="15"/>
                <w:szCs w:val="15"/>
                <w:lang w:val="en-US" w:eastAsia="it-IT"/>
              </w:rPr>
            </w:pPr>
            <w:hyperlink r:id="rId14" w:history="1">
              <w:r w:rsidR="007C78D4" w:rsidRPr="00851BA8">
                <w:rPr>
                  <w:rStyle w:val="Lienhypertexte"/>
                  <w:rFonts w:ascii="Arial" w:eastAsia="Times New Roman" w:hAnsi="Arial"/>
                  <w:sz w:val="15"/>
                  <w:szCs w:val="15"/>
                  <w:lang w:val="en-US" w:eastAsia="it-IT"/>
                </w:rPr>
                <w:t>www.socomec.com</w:t>
              </w:r>
            </w:hyperlink>
          </w:p>
          <w:p w:rsidR="007C78D4" w:rsidRPr="00460C85" w:rsidRDefault="007C78D4" w:rsidP="007C78D4">
            <w:pPr>
              <w:jc w:val="both"/>
              <w:rPr>
                <w:rStyle w:val="Lienhypertexte"/>
                <w:rFonts w:ascii="Arial" w:eastAsia="Times New Roman" w:hAnsi="Arial"/>
                <w:sz w:val="15"/>
                <w:szCs w:val="15"/>
                <w:lang w:val="en-US" w:eastAsia="it-IT"/>
              </w:rPr>
            </w:pPr>
            <w:r>
              <w:rPr>
                <w:rFonts w:ascii="Arial" w:eastAsia="Times New Roman" w:hAnsi="Arial"/>
                <w:sz w:val="15"/>
                <w:szCs w:val="15"/>
                <w:lang w:val="en-US" w:eastAsia="it-IT"/>
              </w:rPr>
              <w:t xml:space="preserve"> </w:t>
            </w:r>
            <w:r w:rsidRPr="00460C85">
              <w:rPr>
                <w:rFonts w:ascii="Arial" w:eastAsia="Times New Roman" w:hAnsi="Arial"/>
                <w:sz w:val="15"/>
                <w:szCs w:val="15"/>
                <w:lang w:val="en-US" w:eastAsia="it-IT"/>
              </w:rPr>
              <w:t xml:space="preserve"> </w:t>
            </w:r>
          </w:p>
          <w:p w:rsidR="00DE2C84" w:rsidRPr="00460C85" w:rsidRDefault="00DE2C84" w:rsidP="00647299">
            <w:pPr>
              <w:jc w:val="both"/>
              <w:rPr>
                <w:rFonts w:ascii="Arial" w:eastAsia="Times New Roman" w:hAnsi="Arial"/>
                <w:color w:val="003C8A"/>
                <w:sz w:val="15"/>
                <w:szCs w:val="15"/>
                <w:lang w:val="en-US" w:eastAsia="it-IT"/>
              </w:rPr>
            </w:pPr>
          </w:p>
        </w:tc>
      </w:tr>
    </w:tbl>
    <w:p w:rsidR="00D86B2E" w:rsidRPr="007C78D4" w:rsidRDefault="00374971" w:rsidP="000617B1">
      <w:pPr>
        <w:pStyle w:val="LgendePhoto"/>
        <w:rPr>
          <w:lang w:eastAsia="fr-FR"/>
        </w:rPr>
      </w:pPr>
      <w:r>
        <w:rPr>
          <w:lang w:eastAsia="fr-FR"/>
        </w:rPr>
        <w:t xml:space="preserve">*Estimated </w:t>
      </w:r>
      <w:r w:rsidR="00DE2C84" w:rsidRPr="00DE2C84">
        <w:rPr>
          <w:lang w:eastAsia="fr-FR"/>
        </w:rPr>
        <w:t>2018</w:t>
      </w:r>
    </w:p>
    <w:sectPr w:rsidR="00D86B2E" w:rsidRPr="007C78D4" w:rsidSect="00676A94">
      <w:headerReference w:type="default" r:id="rId15"/>
      <w:footerReference w:type="default" r:id="rId16"/>
      <w:pgSz w:w="11907" w:h="16839" w:code="9"/>
      <w:pgMar w:top="720" w:right="720" w:bottom="720" w:left="720" w:header="85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84" w:rsidRDefault="009D5D84" w:rsidP="00DC7D80">
      <w:pPr>
        <w:spacing w:after="0" w:line="240" w:lineRule="auto"/>
      </w:pPr>
      <w:r>
        <w:separator/>
      </w:r>
    </w:p>
  </w:endnote>
  <w:endnote w:type="continuationSeparator" w:id="0">
    <w:p w:rsidR="009D5D84" w:rsidRDefault="009D5D84" w:rsidP="00DC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89" w:rsidRPr="00676A94" w:rsidRDefault="000F3989" w:rsidP="00676A94">
    <w:pPr>
      <w:pStyle w:val="Pieddepage"/>
      <w:jc w:val="right"/>
      <w:rPr>
        <w:rFonts w:ascii="Arial" w:hAnsi="Arial" w:cs="Arial"/>
        <w:color w:val="003C8A"/>
      </w:rPr>
    </w:pPr>
    <w:r w:rsidRPr="00676A94">
      <w:rPr>
        <w:rFonts w:ascii="Arial" w:hAnsi="Arial" w:cs="Arial"/>
        <w:b/>
        <w:color w:val="003C8A"/>
      </w:rPr>
      <w:fldChar w:fldCharType="begin"/>
    </w:r>
    <w:r w:rsidRPr="00676A94">
      <w:rPr>
        <w:rFonts w:ascii="Arial" w:hAnsi="Arial" w:cs="Arial"/>
        <w:b/>
        <w:color w:val="003C8A"/>
      </w:rPr>
      <w:instrText>PAGE   \* MERGEFORMAT</w:instrText>
    </w:r>
    <w:r w:rsidRPr="00676A94">
      <w:rPr>
        <w:rFonts w:ascii="Arial" w:hAnsi="Arial" w:cs="Arial"/>
        <w:b/>
        <w:color w:val="003C8A"/>
      </w:rPr>
      <w:fldChar w:fldCharType="separate"/>
    </w:r>
    <w:r w:rsidR="00456840" w:rsidRPr="00456840">
      <w:rPr>
        <w:rFonts w:ascii="Arial" w:hAnsi="Arial" w:cs="Arial"/>
        <w:b/>
        <w:noProof/>
        <w:color w:val="003C8A"/>
        <w:lang w:val="fr-FR"/>
      </w:rPr>
      <w:t>1</w:t>
    </w:r>
    <w:r w:rsidRPr="00676A94">
      <w:rPr>
        <w:rFonts w:ascii="Arial" w:hAnsi="Arial" w:cs="Arial"/>
        <w:b/>
        <w:color w:val="003C8A"/>
      </w:rPr>
      <w:fldChar w:fldCharType="end"/>
    </w:r>
    <w:r w:rsidRPr="00676A94">
      <w:rPr>
        <w:rFonts w:ascii="Arial" w:hAnsi="Arial" w:cs="Arial"/>
        <w:b/>
        <w:color w:val="003C8A"/>
      </w:rPr>
      <w:t>/</w:t>
    </w:r>
    <w:r w:rsidR="00716E1A">
      <w:rPr>
        <w:rFonts w:ascii="Arial" w:hAnsi="Arial" w:cs="Arial"/>
        <w:b/>
        <w:noProof/>
        <w:color w:val="003C8A"/>
      </w:rPr>
      <w:fldChar w:fldCharType="begin"/>
    </w:r>
    <w:r w:rsidR="00716E1A">
      <w:rPr>
        <w:rFonts w:ascii="Arial" w:hAnsi="Arial" w:cs="Arial"/>
        <w:b/>
        <w:noProof/>
        <w:color w:val="003C8A"/>
      </w:rPr>
      <w:instrText xml:space="preserve"> NUMPAGES   \* MERGEFORMAT </w:instrText>
    </w:r>
    <w:r w:rsidR="00716E1A">
      <w:rPr>
        <w:rFonts w:ascii="Arial" w:hAnsi="Arial" w:cs="Arial"/>
        <w:b/>
        <w:noProof/>
        <w:color w:val="003C8A"/>
      </w:rPr>
      <w:fldChar w:fldCharType="separate"/>
    </w:r>
    <w:r w:rsidR="00456840">
      <w:rPr>
        <w:rFonts w:ascii="Arial" w:hAnsi="Arial" w:cs="Arial"/>
        <w:b/>
        <w:noProof/>
        <w:color w:val="003C8A"/>
      </w:rPr>
      <w:t>2</w:t>
    </w:r>
    <w:r w:rsidR="00716E1A">
      <w:rPr>
        <w:rFonts w:ascii="Arial" w:hAnsi="Arial" w:cs="Arial"/>
        <w:b/>
        <w:noProof/>
        <w:color w:val="003C8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84" w:rsidRDefault="009D5D84" w:rsidP="00DC7D80">
      <w:pPr>
        <w:spacing w:after="0" w:line="240" w:lineRule="auto"/>
      </w:pPr>
      <w:r>
        <w:separator/>
      </w:r>
    </w:p>
  </w:footnote>
  <w:footnote w:type="continuationSeparator" w:id="0">
    <w:p w:rsidR="009D5D84" w:rsidRDefault="009D5D84" w:rsidP="00DC7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72"/>
      <w:gridCol w:w="5172"/>
    </w:tblGrid>
    <w:tr w:rsidR="000F3989" w:rsidRPr="003E374B" w:rsidTr="00B92CB3">
      <w:tc>
        <w:tcPr>
          <w:tcW w:w="5172" w:type="dxa"/>
          <w:shd w:val="clear" w:color="auto" w:fill="auto"/>
          <w:vAlign w:val="center"/>
        </w:tcPr>
        <w:p w:rsidR="000F3989" w:rsidRPr="008803CE" w:rsidRDefault="000F3989" w:rsidP="00B92CB3">
          <w:pPr>
            <w:pStyle w:val="En-tte"/>
            <w:rPr>
              <w:b/>
              <w:bCs/>
              <w:color w:val="003C8A"/>
            </w:rPr>
          </w:pPr>
          <w:r>
            <w:rPr>
              <w:noProof/>
              <w:color w:val="7F7F7F"/>
              <w:lang w:val="en-US"/>
            </w:rPr>
            <w:drawing>
              <wp:inline distT="0" distB="0" distL="0" distR="0" wp14:anchorId="78F7A0C0" wp14:editId="4EDEEB6C">
                <wp:extent cx="2266950" cy="381000"/>
                <wp:effectExtent l="0" t="0" r="0" b="0"/>
                <wp:docPr id="4" name="Image 9"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rsidR="000F3989" w:rsidRPr="00774243" w:rsidRDefault="00374971" w:rsidP="00774243">
          <w:pPr>
            <w:pStyle w:val="En-tte"/>
            <w:jc w:val="right"/>
            <w:rPr>
              <w:rFonts w:ascii="Arial" w:hAnsi="Arial" w:cs="Arial"/>
              <w:b/>
              <w:bCs/>
              <w:color w:val="003C8A"/>
            </w:rPr>
          </w:pPr>
          <w:r>
            <w:rPr>
              <w:rFonts w:ascii="Arial" w:hAnsi="Arial" w:cs="Arial"/>
              <w:b/>
              <w:bCs/>
              <w:color w:val="003C8A"/>
              <w:sz w:val="28"/>
              <w:szCs w:val="28"/>
            </w:rPr>
            <w:t>Press release</w:t>
          </w:r>
        </w:p>
      </w:tc>
    </w:tr>
  </w:tbl>
  <w:p w:rsidR="000F3989" w:rsidRDefault="000F3989">
    <w:pPr>
      <w:pStyle w:val="En-tte"/>
    </w:pPr>
  </w:p>
  <w:p w:rsidR="000F3989" w:rsidRDefault="000F398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26F0"/>
    <w:multiLevelType w:val="hybridMultilevel"/>
    <w:tmpl w:val="15D6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71C1F"/>
    <w:multiLevelType w:val="hybridMultilevel"/>
    <w:tmpl w:val="4DB4453A"/>
    <w:lvl w:ilvl="0" w:tplc="2410D32C">
      <w:start w:val="1"/>
      <w:numFmt w:val="bullet"/>
      <w:lvlText w:val=""/>
      <w:lvlJc w:val="left"/>
      <w:pPr>
        <w:ind w:left="-351" w:hanging="360"/>
      </w:pPr>
      <w:rPr>
        <w:rFonts w:ascii="Wingdings" w:hAnsi="Wingdings" w:hint="default"/>
      </w:rPr>
    </w:lvl>
    <w:lvl w:ilvl="1" w:tplc="04090003">
      <w:start w:val="1"/>
      <w:numFmt w:val="bullet"/>
      <w:lvlText w:val="o"/>
      <w:lvlJc w:val="left"/>
      <w:pPr>
        <w:ind w:left="369" w:hanging="360"/>
      </w:pPr>
      <w:rPr>
        <w:rFonts w:ascii="Courier New" w:hAnsi="Courier New" w:cs="Courier New" w:hint="default"/>
      </w:rPr>
    </w:lvl>
    <w:lvl w:ilvl="2" w:tplc="04090005">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2">
    <w:nsid w:val="0E6F73E8"/>
    <w:multiLevelType w:val="hybridMultilevel"/>
    <w:tmpl w:val="4B7C2B40"/>
    <w:lvl w:ilvl="0" w:tplc="868C50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5B871BD"/>
    <w:multiLevelType w:val="hybridMultilevel"/>
    <w:tmpl w:val="E41CC0AA"/>
    <w:lvl w:ilvl="0" w:tplc="F572DD9C">
      <w:numFmt w:val="bullet"/>
      <w:pStyle w:val="Citation"/>
      <w:lvlText w:val="►"/>
      <w:lvlJc w:val="left"/>
      <w:pPr>
        <w:ind w:left="720" w:hanging="360"/>
      </w:pPr>
      <w:rPr>
        <w:rFonts w:ascii="Arial" w:hAnsi="Arial" w:hint="default"/>
        <w:color w:val="003C8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52FB9"/>
    <w:multiLevelType w:val="hybridMultilevel"/>
    <w:tmpl w:val="AFF83620"/>
    <w:lvl w:ilvl="0" w:tplc="CA8E30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31463D5"/>
    <w:multiLevelType w:val="hybridMultilevel"/>
    <w:tmpl w:val="4FB428DA"/>
    <w:lvl w:ilvl="0" w:tplc="87A415B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623DFB"/>
    <w:multiLevelType w:val="hybridMultilevel"/>
    <w:tmpl w:val="CF50C776"/>
    <w:lvl w:ilvl="0" w:tplc="7FB4AA98">
      <w:start w:val="1"/>
      <w:numFmt w:val="bullet"/>
      <w:pStyle w:val="Bullets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nsid w:val="294753AA"/>
    <w:multiLevelType w:val="hybridMultilevel"/>
    <w:tmpl w:val="7194D2C2"/>
    <w:lvl w:ilvl="0" w:tplc="DCDA585E">
      <w:numFmt w:val="bullet"/>
      <w:lvlText w:val="-"/>
      <w:lvlJc w:val="left"/>
      <w:pPr>
        <w:ind w:left="369" w:hanging="360"/>
      </w:pPr>
      <w:rPr>
        <w:rFonts w:ascii="Arial" w:eastAsiaTheme="minorHAnsi" w:hAnsi="Arial" w:cs="Arial" w:hint="default"/>
      </w:rPr>
    </w:lvl>
    <w:lvl w:ilvl="1" w:tplc="04090003">
      <w:start w:val="1"/>
      <w:numFmt w:val="bullet"/>
      <w:lvlText w:val="o"/>
      <w:lvlJc w:val="left"/>
      <w:pPr>
        <w:ind w:left="1089" w:hanging="360"/>
      </w:pPr>
      <w:rPr>
        <w:rFonts w:ascii="Courier New" w:hAnsi="Courier New" w:cs="Courier New" w:hint="default"/>
      </w:rPr>
    </w:lvl>
    <w:lvl w:ilvl="2" w:tplc="04090005">
      <w:start w:val="1"/>
      <w:numFmt w:val="bullet"/>
      <w:lvlText w:val=""/>
      <w:lvlJc w:val="left"/>
      <w:pPr>
        <w:ind w:left="1809" w:hanging="360"/>
      </w:pPr>
      <w:rPr>
        <w:rFonts w:ascii="Wingdings" w:hAnsi="Wingdings" w:hint="default"/>
      </w:rPr>
    </w:lvl>
    <w:lvl w:ilvl="3" w:tplc="04090001">
      <w:start w:val="1"/>
      <w:numFmt w:val="bullet"/>
      <w:lvlText w:val=""/>
      <w:lvlJc w:val="left"/>
      <w:pPr>
        <w:ind w:left="2529" w:hanging="360"/>
      </w:pPr>
      <w:rPr>
        <w:rFonts w:ascii="Symbol" w:hAnsi="Symbol" w:hint="default"/>
      </w:rPr>
    </w:lvl>
    <w:lvl w:ilvl="4" w:tplc="04090003">
      <w:start w:val="1"/>
      <w:numFmt w:val="bullet"/>
      <w:lvlText w:val="o"/>
      <w:lvlJc w:val="left"/>
      <w:pPr>
        <w:ind w:left="3249" w:hanging="360"/>
      </w:pPr>
      <w:rPr>
        <w:rFonts w:ascii="Courier New" w:hAnsi="Courier New" w:cs="Courier New" w:hint="default"/>
      </w:rPr>
    </w:lvl>
    <w:lvl w:ilvl="5" w:tplc="04090005">
      <w:start w:val="1"/>
      <w:numFmt w:val="bullet"/>
      <w:lvlText w:val=""/>
      <w:lvlJc w:val="left"/>
      <w:pPr>
        <w:ind w:left="3969" w:hanging="360"/>
      </w:pPr>
      <w:rPr>
        <w:rFonts w:ascii="Wingdings" w:hAnsi="Wingdings" w:hint="default"/>
      </w:rPr>
    </w:lvl>
    <w:lvl w:ilvl="6" w:tplc="04090001">
      <w:start w:val="1"/>
      <w:numFmt w:val="bullet"/>
      <w:lvlText w:val=""/>
      <w:lvlJc w:val="left"/>
      <w:pPr>
        <w:ind w:left="4689" w:hanging="360"/>
      </w:pPr>
      <w:rPr>
        <w:rFonts w:ascii="Symbol" w:hAnsi="Symbol" w:hint="default"/>
      </w:rPr>
    </w:lvl>
    <w:lvl w:ilvl="7" w:tplc="04090003">
      <w:start w:val="1"/>
      <w:numFmt w:val="bullet"/>
      <w:lvlText w:val="o"/>
      <w:lvlJc w:val="left"/>
      <w:pPr>
        <w:ind w:left="5409" w:hanging="360"/>
      </w:pPr>
      <w:rPr>
        <w:rFonts w:ascii="Courier New" w:hAnsi="Courier New" w:cs="Courier New" w:hint="default"/>
      </w:rPr>
    </w:lvl>
    <w:lvl w:ilvl="8" w:tplc="04090005">
      <w:start w:val="1"/>
      <w:numFmt w:val="bullet"/>
      <w:lvlText w:val=""/>
      <w:lvlJc w:val="left"/>
      <w:pPr>
        <w:ind w:left="6129" w:hanging="360"/>
      </w:pPr>
      <w:rPr>
        <w:rFonts w:ascii="Wingdings" w:hAnsi="Wingdings" w:hint="default"/>
      </w:rPr>
    </w:lvl>
  </w:abstractNum>
  <w:abstractNum w:abstractNumId="8">
    <w:nsid w:val="29C94B1F"/>
    <w:multiLevelType w:val="hybridMultilevel"/>
    <w:tmpl w:val="B67401F2"/>
    <w:lvl w:ilvl="0" w:tplc="F3047D38">
      <w:start w:val="5"/>
      <w:numFmt w:val="bullet"/>
      <w:pStyle w:val="Bullets2"/>
      <w:lvlText w:val="-"/>
      <w:lvlJc w:val="left"/>
      <w:pPr>
        <w:ind w:left="3594" w:hanging="360"/>
      </w:pPr>
      <w:rPr>
        <w:rFonts w:ascii="Arial" w:eastAsiaTheme="minorHAnsi" w:hAnsi="Arial" w:cs="Arial" w:hint="default"/>
      </w:rPr>
    </w:lvl>
    <w:lvl w:ilvl="1" w:tplc="04090003" w:tentative="1">
      <w:start w:val="1"/>
      <w:numFmt w:val="bullet"/>
      <w:lvlText w:val="o"/>
      <w:lvlJc w:val="left"/>
      <w:pPr>
        <w:ind w:left="4314" w:hanging="360"/>
      </w:pPr>
      <w:rPr>
        <w:rFonts w:ascii="Courier New" w:hAnsi="Courier New" w:cs="Courier New" w:hint="default"/>
      </w:rPr>
    </w:lvl>
    <w:lvl w:ilvl="2" w:tplc="04090005" w:tentative="1">
      <w:start w:val="1"/>
      <w:numFmt w:val="bullet"/>
      <w:lvlText w:val=""/>
      <w:lvlJc w:val="left"/>
      <w:pPr>
        <w:ind w:left="5034" w:hanging="360"/>
      </w:pPr>
      <w:rPr>
        <w:rFonts w:ascii="Wingdings" w:hAnsi="Wingdings" w:hint="default"/>
      </w:rPr>
    </w:lvl>
    <w:lvl w:ilvl="3" w:tplc="04090001" w:tentative="1">
      <w:start w:val="1"/>
      <w:numFmt w:val="bullet"/>
      <w:lvlText w:val=""/>
      <w:lvlJc w:val="left"/>
      <w:pPr>
        <w:ind w:left="5754" w:hanging="360"/>
      </w:pPr>
      <w:rPr>
        <w:rFonts w:ascii="Symbol" w:hAnsi="Symbol" w:hint="default"/>
      </w:rPr>
    </w:lvl>
    <w:lvl w:ilvl="4" w:tplc="04090003" w:tentative="1">
      <w:start w:val="1"/>
      <w:numFmt w:val="bullet"/>
      <w:lvlText w:val="o"/>
      <w:lvlJc w:val="left"/>
      <w:pPr>
        <w:ind w:left="6474" w:hanging="360"/>
      </w:pPr>
      <w:rPr>
        <w:rFonts w:ascii="Courier New" w:hAnsi="Courier New" w:cs="Courier New" w:hint="default"/>
      </w:rPr>
    </w:lvl>
    <w:lvl w:ilvl="5" w:tplc="04090005" w:tentative="1">
      <w:start w:val="1"/>
      <w:numFmt w:val="bullet"/>
      <w:lvlText w:val=""/>
      <w:lvlJc w:val="left"/>
      <w:pPr>
        <w:ind w:left="7194" w:hanging="360"/>
      </w:pPr>
      <w:rPr>
        <w:rFonts w:ascii="Wingdings" w:hAnsi="Wingdings" w:hint="default"/>
      </w:rPr>
    </w:lvl>
    <w:lvl w:ilvl="6" w:tplc="04090001" w:tentative="1">
      <w:start w:val="1"/>
      <w:numFmt w:val="bullet"/>
      <w:lvlText w:val=""/>
      <w:lvlJc w:val="left"/>
      <w:pPr>
        <w:ind w:left="7914" w:hanging="360"/>
      </w:pPr>
      <w:rPr>
        <w:rFonts w:ascii="Symbol" w:hAnsi="Symbol" w:hint="default"/>
      </w:rPr>
    </w:lvl>
    <w:lvl w:ilvl="7" w:tplc="04090003" w:tentative="1">
      <w:start w:val="1"/>
      <w:numFmt w:val="bullet"/>
      <w:lvlText w:val="o"/>
      <w:lvlJc w:val="left"/>
      <w:pPr>
        <w:ind w:left="8634" w:hanging="360"/>
      </w:pPr>
      <w:rPr>
        <w:rFonts w:ascii="Courier New" w:hAnsi="Courier New" w:cs="Courier New" w:hint="default"/>
      </w:rPr>
    </w:lvl>
    <w:lvl w:ilvl="8" w:tplc="04090005" w:tentative="1">
      <w:start w:val="1"/>
      <w:numFmt w:val="bullet"/>
      <w:lvlText w:val=""/>
      <w:lvlJc w:val="left"/>
      <w:pPr>
        <w:ind w:left="9354" w:hanging="360"/>
      </w:pPr>
      <w:rPr>
        <w:rFonts w:ascii="Wingdings" w:hAnsi="Wingdings" w:hint="default"/>
      </w:rPr>
    </w:lvl>
  </w:abstractNum>
  <w:abstractNum w:abstractNumId="9">
    <w:nsid w:val="346B17B0"/>
    <w:multiLevelType w:val="hybridMultilevel"/>
    <w:tmpl w:val="7B0CDAC0"/>
    <w:lvl w:ilvl="0" w:tplc="172AE5E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2E4CA3"/>
    <w:multiLevelType w:val="hybridMultilevel"/>
    <w:tmpl w:val="E9BA498E"/>
    <w:lvl w:ilvl="0" w:tplc="5A7CCFF6">
      <w:numFmt w:val="bullet"/>
      <w:lvlText w:val="►"/>
      <w:lvlJc w:val="left"/>
      <w:pPr>
        <w:ind w:left="360" w:hanging="360"/>
      </w:pPr>
      <w:rPr>
        <w:rFonts w:ascii="Arial" w:hAnsi="Arial" w:hint="default"/>
        <w:color w:val="003C8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222093"/>
    <w:multiLevelType w:val="hybridMultilevel"/>
    <w:tmpl w:val="A10A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1"/>
  </w:num>
  <w:num w:numId="4">
    <w:abstractNumId w:val="2"/>
  </w:num>
  <w:num w:numId="5">
    <w:abstractNumId w:val="1"/>
  </w:num>
  <w:num w:numId="6">
    <w:abstractNumId w:val="10"/>
  </w:num>
  <w:num w:numId="7">
    <w:abstractNumId w:val="3"/>
  </w:num>
  <w:num w:numId="8">
    <w:abstractNumId w:val="6"/>
  </w:num>
  <w:num w:numId="9">
    <w:abstractNumId w:val="6"/>
  </w:num>
  <w:num w:numId="10">
    <w:abstractNumId w:val="7"/>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AC"/>
    <w:rsid w:val="00002AE2"/>
    <w:rsid w:val="0000477F"/>
    <w:rsid w:val="000136C0"/>
    <w:rsid w:val="00022999"/>
    <w:rsid w:val="000238AE"/>
    <w:rsid w:val="000347E1"/>
    <w:rsid w:val="00050D6B"/>
    <w:rsid w:val="00051889"/>
    <w:rsid w:val="00060FD3"/>
    <w:rsid w:val="00061163"/>
    <w:rsid w:val="000617B1"/>
    <w:rsid w:val="000671BA"/>
    <w:rsid w:val="00067597"/>
    <w:rsid w:val="00071C0A"/>
    <w:rsid w:val="00072483"/>
    <w:rsid w:val="00075D85"/>
    <w:rsid w:val="00086027"/>
    <w:rsid w:val="000B7608"/>
    <w:rsid w:val="000C604A"/>
    <w:rsid w:val="000D089F"/>
    <w:rsid w:val="000F3989"/>
    <w:rsid w:val="00101DC8"/>
    <w:rsid w:val="00106249"/>
    <w:rsid w:val="001066B8"/>
    <w:rsid w:val="00112E53"/>
    <w:rsid w:val="0013008D"/>
    <w:rsid w:val="00130991"/>
    <w:rsid w:val="00152125"/>
    <w:rsid w:val="00167982"/>
    <w:rsid w:val="00167CB7"/>
    <w:rsid w:val="00170E22"/>
    <w:rsid w:val="001A0C0A"/>
    <w:rsid w:val="001C0AD6"/>
    <w:rsid w:val="001C2DA2"/>
    <w:rsid w:val="001E1D55"/>
    <w:rsid w:val="001F301E"/>
    <w:rsid w:val="00202DE4"/>
    <w:rsid w:val="00220EA7"/>
    <w:rsid w:val="0022520C"/>
    <w:rsid w:val="00275154"/>
    <w:rsid w:val="002D7909"/>
    <w:rsid w:val="002E394D"/>
    <w:rsid w:val="002F0EB8"/>
    <w:rsid w:val="002F45EF"/>
    <w:rsid w:val="00314D75"/>
    <w:rsid w:val="00332900"/>
    <w:rsid w:val="00335FD3"/>
    <w:rsid w:val="00336266"/>
    <w:rsid w:val="00357298"/>
    <w:rsid w:val="00374971"/>
    <w:rsid w:val="00377ACB"/>
    <w:rsid w:val="003A4EF3"/>
    <w:rsid w:val="003B4260"/>
    <w:rsid w:val="003B5FA9"/>
    <w:rsid w:val="003B75E6"/>
    <w:rsid w:val="003E332F"/>
    <w:rsid w:val="003F71C8"/>
    <w:rsid w:val="00410FAC"/>
    <w:rsid w:val="0045433B"/>
    <w:rsid w:val="00456840"/>
    <w:rsid w:val="00460C85"/>
    <w:rsid w:val="004748FD"/>
    <w:rsid w:val="00475BB2"/>
    <w:rsid w:val="00482C27"/>
    <w:rsid w:val="00487E6A"/>
    <w:rsid w:val="004D345D"/>
    <w:rsid w:val="00503AAE"/>
    <w:rsid w:val="0054030C"/>
    <w:rsid w:val="005420B2"/>
    <w:rsid w:val="00564B31"/>
    <w:rsid w:val="0056644D"/>
    <w:rsid w:val="00583ED5"/>
    <w:rsid w:val="0059265E"/>
    <w:rsid w:val="00595F6A"/>
    <w:rsid w:val="005A6FF3"/>
    <w:rsid w:val="005B2058"/>
    <w:rsid w:val="005C0F91"/>
    <w:rsid w:val="005C7D8F"/>
    <w:rsid w:val="005D0BD2"/>
    <w:rsid w:val="005D0C4F"/>
    <w:rsid w:val="005D2750"/>
    <w:rsid w:val="005D42EC"/>
    <w:rsid w:val="005E21E1"/>
    <w:rsid w:val="005F6785"/>
    <w:rsid w:val="006027DE"/>
    <w:rsid w:val="0060779A"/>
    <w:rsid w:val="00615111"/>
    <w:rsid w:val="0062511A"/>
    <w:rsid w:val="006322E2"/>
    <w:rsid w:val="00633083"/>
    <w:rsid w:val="00663537"/>
    <w:rsid w:val="0066434B"/>
    <w:rsid w:val="00673B76"/>
    <w:rsid w:val="00676A94"/>
    <w:rsid w:val="00676C35"/>
    <w:rsid w:val="006A41DF"/>
    <w:rsid w:val="006A5C37"/>
    <w:rsid w:val="006B440B"/>
    <w:rsid w:val="007068D8"/>
    <w:rsid w:val="00716E1A"/>
    <w:rsid w:val="00742A2C"/>
    <w:rsid w:val="007462C9"/>
    <w:rsid w:val="00747E2D"/>
    <w:rsid w:val="007500A0"/>
    <w:rsid w:val="00763CFC"/>
    <w:rsid w:val="00766E45"/>
    <w:rsid w:val="00774243"/>
    <w:rsid w:val="007745FA"/>
    <w:rsid w:val="00780DDC"/>
    <w:rsid w:val="00782084"/>
    <w:rsid w:val="00784D58"/>
    <w:rsid w:val="00786E70"/>
    <w:rsid w:val="007C267A"/>
    <w:rsid w:val="007C78D4"/>
    <w:rsid w:val="00820AA3"/>
    <w:rsid w:val="00821D57"/>
    <w:rsid w:val="00825D0C"/>
    <w:rsid w:val="008604FF"/>
    <w:rsid w:val="00874E8A"/>
    <w:rsid w:val="008831B1"/>
    <w:rsid w:val="008A4B53"/>
    <w:rsid w:val="008D17F3"/>
    <w:rsid w:val="008F0204"/>
    <w:rsid w:val="008F67DF"/>
    <w:rsid w:val="00906C70"/>
    <w:rsid w:val="00925BBC"/>
    <w:rsid w:val="0092622A"/>
    <w:rsid w:val="0093571E"/>
    <w:rsid w:val="009400B2"/>
    <w:rsid w:val="00957168"/>
    <w:rsid w:val="009A5882"/>
    <w:rsid w:val="009A5B72"/>
    <w:rsid w:val="009B7FE8"/>
    <w:rsid w:val="009D13D6"/>
    <w:rsid w:val="009D5D84"/>
    <w:rsid w:val="009E6174"/>
    <w:rsid w:val="009F6E9C"/>
    <w:rsid w:val="009F7378"/>
    <w:rsid w:val="00A11C6A"/>
    <w:rsid w:val="00A2492F"/>
    <w:rsid w:val="00A31F10"/>
    <w:rsid w:val="00A42EE9"/>
    <w:rsid w:val="00A55A0D"/>
    <w:rsid w:val="00A86EB6"/>
    <w:rsid w:val="00A914F9"/>
    <w:rsid w:val="00A96B5A"/>
    <w:rsid w:val="00A96B7C"/>
    <w:rsid w:val="00AD00B3"/>
    <w:rsid w:val="00AD5F2E"/>
    <w:rsid w:val="00AD7F85"/>
    <w:rsid w:val="00AE683C"/>
    <w:rsid w:val="00B02200"/>
    <w:rsid w:val="00B16553"/>
    <w:rsid w:val="00B1667B"/>
    <w:rsid w:val="00B168A7"/>
    <w:rsid w:val="00B33B22"/>
    <w:rsid w:val="00B53DAB"/>
    <w:rsid w:val="00B64114"/>
    <w:rsid w:val="00B775E5"/>
    <w:rsid w:val="00B92CB3"/>
    <w:rsid w:val="00B93C8C"/>
    <w:rsid w:val="00BA3EF8"/>
    <w:rsid w:val="00BB256B"/>
    <w:rsid w:val="00BB36A8"/>
    <w:rsid w:val="00BC4BE2"/>
    <w:rsid w:val="00BE15C5"/>
    <w:rsid w:val="00C135A5"/>
    <w:rsid w:val="00C167B6"/>
    <w:rsid w:val="00C819F1"/>
    <w:rsid w:val="00CB0A87"/>
    <w:rsid w:val="00CB62E1"/>
    <w:rsid w:val="00CD4491"/>
    <w:rsid w:val="00CE0F6B"/>
    <w:rsid w:val="00CF089A"/>
    <w:rsid w:val="00CF4ED6"/>
    <w:rsid w:val="00CF635E"/>
    <w:rsid w:val="00D378C5"/>
    <w:rsid w:val="00D41656"/>
    <w:rsid w:val="00D4200C"/>
    <w:rsid w:val="00D539B0"/>
    <w:rsid w:val="00D73F42"/>
    <w:rsid w:val="00D86B2E"/>
    <w:rsid w:val="00DB0CB1"/>
    <w:rsid w:val="00DC6B14"/>
    <w:rsid w:val="00DC7D80"/>
    <w:rsid w:val="00DE2C84"/>
    <w:rsid w:val="00E03F36"/>
    <w:rsid w:val="00E10C25"/>
    <w:rsid w:val="00E31CCD"/>
    <w:rsid w:val="00E343EE"/>
    <w:rsid w:val="00E4673A"/>
    <w:rsid w:val="00E523EF"/>
    <w:rsid w:val="00E745BC"/>
    <w:rsid w:val="00E85DBB"/>
    <w:rsid w:val="00E977A9"/>
    <w:rsid w:val="00EA27EE"/>
    <w:rsid w:val="00EB7F0F"/>
    <w:rsid w:val="00EE0C37"/>
    <w:rsid w:val="00EE234D"/>
    <w:rsid w:val="00EF074F"/>
    <w:rsid w:val="00F13A5A"/>
    <w:rsid w:val="00F22F14"/>
    <w:rsid w:val="00F24451"/>
    <w:rsid w:val="00F24B60"/>
    <w:rsid w:val="00F618A2"/>
    <w:rsid w:val="00F63A9A"/>
    <w:rsid w:val="00FA7DAE"/>
    <w:rsid w:val="00FB2C7E"/>
    <w:rsid w:val="00FB4A7B"/>
    <w:rsid w:val="00FC0281"/>
    <w:rsid w:val="00FD3C2E"/>
    <w:rsid w:val="00FE427A"/>
    <w:rsid w:val="00FE5D35"/>
    <w:rsid w:val="00FF737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DC7D8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rsid w:val="001A0C0A"/>
    <w:pPr>
      <w:numPr>
        <w:numId w:val="8"/>
      </w:numPr>
      <w:spacing w:after="0"/>
    </w:pPr>
    <w:rPr>
      <w:lang w:val="it-IT"/>
    </w:rPr>
  </w:style>
  <w:style w:type="character" w:customStyle="1" w:styleId="SubtitleCar">
    <w:name w:val="Subtitle Car"/>
    <w:basedOn w:val="Policepardfaut"/>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rsid w:val="00DC7D80"/>
    <w:pPr>
      <w:numPr>
        <w:numId w:val="2"/>
      </w:numPr>
      <w:ind w:left="709"/>
    </w:pPr>
  </w:style>
  <w:style w:type="character" w:customStyle="1" w:styleId="Bullets1Car">
    <w:name w:val="Bullets 1 Car"/>
    <w:basedOn w:val="TextCar"/>
    <w:link w:val="Bullets1"/>
    <w:uiPriority w:val="4"/>
    <w:rsid w:val="001A0C0A"/>
    <w:rPr>
      <w:rFonts w:ascii="Arial" w:hAnsi="Arial" w:cs="Arial"/>
      <w:color w:val="000000" w:themeColor="text1"/>
      <w:lang w:val="it-IT"/>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gendePhoto">
    <w:name w:val="Légende Photo"/>
    <w:basedOn w:val="Bullets1"/>
    <w:link w:val="LgendePhotoCar"/>
    <w:uiPriority w:val="10"/>
    <w:qFormat/>
    <w:rsid w:val="00061163"/>
    <w:pPr>
      <w:numPr>
        <w:numId w:val="0"/>
      </w:numPr>
    </w:pPr>
    <w:rPr>
      <w:i/>
      <w:sz w:val="18"/>
      <w:szCs w:val="18"/>
      <w:lang w:val="en-US"/>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endePhotoCar">
    <w:name w:val="Légende Photo Car"/>
    <w:basedOn w:val="CitationCar"/>
    <w:link w:val="LgendePhoto"/>
    <w:uiPriority w:val="10"/>
    <w:rsid w:val="00061163"/>
    <w:rPr>
      <w:rFonts w:ascii="Arial" w:hAnsi="Arial" w:cs="Arial"/>
      <w:i/>
      <w:iCs w:val="0"/>
      <w:color w:val="000000" w:themeColor="text1"/>
      <w:sz w:val="18"/>
      <w:szCs w:val="18"/>
    </w:rPr>
  </w:style>
  <w:style w:type="paragraph" w:styleId="Commentaire">
    <w:name w:val="annotation text"/>
    <w:basedOn w:val="Normal"/>
    <w:link w:val="CommentaireCar"/>
    <w:uiPriority w:val="99"/>
    <w:semiHidden/>
    <w:unhideWhenUsed/>
    <w:rsid w:val="00377ACB"/>
    <w:pPr>
      <w:spacing w:line="240" w:lineRule="auto"/>
    </w:pPr>
    <w:rPr>
      <w:sz w:val="20"/>
      <w:szCs w:val="20"/>
    </w:rPr>
  </w:style>
  <w:style w:type="character" w:customStyle="1" w:styleId="CommentaireCar">
    <w:name w:val="Commentaire Car"/>
    <w:basedOn w:val="Policepardfaut"/>
    <w:link w:val="Commentaire"/>
    <w:uiPriority w:val="99"/>
    <w:semiHidden/>
    <w:rsid w:val="00377ACB"/>
    <w:rPr>
      <w:sz w:val="20"/>
      <w:szCs w:val="20"/>
    </w:rPr>
  </w:style>
  <w:style w:type="character" w:styleId="Marquedecommentaire">
    <w:name w:val="annotation reference"/>
    <w:basedOn w:val="Policepardfaut"/>
    <w:uiPriority w:val="99"/>
    <w:semiHidden/>
    <w:unhideWhenUsed/>
    <w:rsid w:val="00377ACB"/>
    <w:rPr>
      <w:sz w:val="16"/>
      <w:szCs w:val="16"/>
    </w:rPr>
  </w:style>
  <w:style w:type="paragraph" w:styleId="Objetducommentaire">
    <w:name w:val="annotation subject"/>
    <w:basedOn w:val="Commentaire"/>
    <w:next w:val="Commentaire"/>
    <w:link w:val="ObjetducommentaireCar"/>
    <w:uiPriority w:val="99"/>
    <w:semiHidden/>
    <w:unhideWhenUsed/>
    <w:rsid w:val="00487E6A"/>
    <w:rPr>
      <w:b/>
      <w:bCs/>
    </w:rPr>
  </w:style>
  <w:style w:type="character" w:customStyle="1" w:styleId="ObjetducommentaireCar">
    <w:name w:val="Objet du commentaire Car"/>
    <w:basedOn w:val="CommentaireCar"/>
    <w:link w:val="Objetducommentaire"/>
    <w:uiPriority w:val="99"/>
    <w:semiHidden/>
    <w:rsid w:val="00487E6A"/>
    <w:rPr>
      <w:b/>
      <w:bCs/>
      <w:sz w:val="20"/>
      <w:szCs w:val="20"/>
    </w:rPr>
  </w:style>
  <w:style w:type="paragraph" w:styleId="Paragraphedeliste">
    <w:name w:val="List Paragraph"/>
    <w:basedOn w:val="Normal"/>
    <w:uiPriority w:val="34"/>
    <w:rsid w:val="00B168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DC7D8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rsid w:val="001A0C0A"/>
    <w:pPr>
      <w:numPr>
        <w:numId w:val="8"/>
      </w:numPr>
      <w:spacing w:after="0"/>
    </w:pPr>
    <w:rPr>
      <w:lang w:val="it-IT"/>
    </w:rPr>
  </w:style>
  <w:style w:type="character" w:customStyle="1" w:styleId="SubtitleCar">
    <w:name w:val="Subtitle Car"/>
    <w:basedOn w:val="Policepardfaut"/>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rsid w:val="00DC7D80"/>
    <w:pPr>
      <w:numPr>
        <w:numId w:val="2"/>
      </w:numPr>
      <w:ind w:left="709"/>
    </w:pPr>
  </w:style>
  <w:style w:type="character" w:customStyle="1" w:styleId="Bullets1Car">
    <w:name w:val="Bullets 1 Car"/>
    <w:basedOn w:val="TextCar"/>
    <w:link w:val="Bullets1"/>
    <w:uiPriority w:val="4"/>
    <w:rsid w:val="001A0C0A"/>
    <w:rPr>
      <w:rFonts w:ascii="Arial" w:hAnsi="Arial" w:cs="Arial"/>
      <w:color w:val="000000" w:themeColor="text1"/>
      <w:lang w:val="it-IT"/>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gendePhoto">
    <w:name w:val="Légende Photo"/>
    <w:basedOn w:val="Bullets1"/>
    <w:link w:val="LgendePhotoCar"/>
    <w:uiPriority w:val="10"/>
    <w:qFormat/>
    <w:rsid w:val="00061163"/>
    <w:pPr>
      <w:numPr>
        <w:numId w:val="0"/>
      </w:numPr>
    </w:pPr>
    <w:rPr>
      <w:i/>
      <w:sz w:val="18"/>
      <w:szCs w:val="18"/>
      <w:lang w:val="en-US"/>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endePhotoCar">
    <w:name w:val="Légende Photo Car"/>
    <w:basedOn w:val="CitationCar"/>
    <w:link w:val="LgendePhoto"/>
    <w:uiPriority w:val="10"/>
    <w:rsid w:val="00061163"/>
    <w:rPr>
      <w:rFonts w:ascii="Arial" w:hAnsi="Arial" w:cs="Arial"/>
      <w:i/>
      <w:iCs w:val="0"/>
      <w:color w:val="000000" w:themeColor="text1"/>
      <w:sz w:val="18"/>
      <w:szCs w:val="18"/>
    </w:rPr>
  </w:style>
  <w:style w:type="paragraph" w:styleId="Commentaire">
    <w:name w:val="annotation text"/>
    <w:basedOn w:val="Normal"/>
    <w:link w:val="CommentaireCar"/>
    <w:uiPriority w:val="99"/>
    <w:semiHidden/>
    <w:unhideWhenUsed/>
    <w:rsid w:val="00377ACB"/>
    <w:pPr>
      <w:spacing w:line="240" w:lineRule="auto"/>
    </w:pPr>
    <w:rPr>
      <w:sz w:val="20"/>
      <w:szCs w:val="20"/>
    </w:rPr>
  </w:style>
  <w:style w:type="character" w:customStyle="1" w:styleId="CommentaireCar">
    <w:name w:val="Commentaire Car"/>
    <w:basedOn w:val="Policepardfaut"/>
    <w:link w:val="Commentaire"/>
    <w:uiPriority w:val="99"/>
    <w:semiHidden/>
    <w:rsid w:val="00377ACB"/>
    <w:rPr>
      <w:sz w:val="20"/>
      <w:szCs w:val="20"/>
    </w:rPr>
  </w:style>
  <w:style w:type="character" w:styleId="Marquedecommentaire">
    <w:name w:val="annotation reference"/>
    <w:basedOn w:val="Policepardfaut"/>
    <w:uiPriority w:val="99"/>
    <w:semiHidden/>
    <w:unhideWhenUsed/>
    <w:rsid w:val="00377ACB"/>
    <w:rPr>
      <w:sz w:val="16"/>
      <w:szCs w:val="16"/>
    </w:rPr>
  </w:style>
  <w:style w:type="paragraph" w:styleId="Objetducommentaire">
    <w:name w:val="annotation subject"/>
    <w:basedOn w:val="Commentaire"/>
    <w:next w:val="Commentaire"/>
    <w:link w:val="ObjetducommentaireCar"/>
    <w:uiPriority w:val="99"/>
    <w:semiHidden/>
    <w:unhideWhenUsed/>
    <w:rsid w:val="00487E6A"/>
    <w:rPr>
      <w:b/>
      <w:bCs/>
    </w:rPr>
  </w:style>
  <w:style w:type="character" w:customStyle="1" w:styleId="ObjetducommentaireCar">
    <w:name w:val="Objet du commentaire Car"/>
    <w:basedOn w:val="CommentaireCar"/>
    <w:link w:val="Objetducommentaire"/>
    <w:uiPriority w:val="99"/>
    <w:semiHidden/>
    <w:rsid w:val="00487E6A"/>
    <w:rPr>
      <w:b/>
      <w:bCs/>
      <w:sz w:val="20"/>
      <w:szCs w:val="20"/>
    </w:rPr>
  </w:style>
  <w:style w:type="paragraph" w:styleId="Paragraphedeliste">
    <w:name w:val="List Paragraph"/>
    <w:basedOn w:val="Normal"/>
    <w:uiPriority w:val="34"/>
    <w:rsid w:val="00B16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48332">
      <w:bodyDiv w:val="1"/>
      <w:marLeft w:val="0"/>
      <w:marRight w:val="0"/>
      <w:marTop w:val="0"/>
      <w:marBottom w:val="0"/>
      <w:divBdr>
        <w:top w:val="none" w:sz="0" w:space="0" w:color="auto"/>
        <w:left w:val="none" w:sz="0" w:space="0" w:color="auto"/>
        <w:bottom w:val="none" w:sz="0" w:space="0" w:color="auto"/>
        <w:right w:val="none" w:sz="0" w:space="0" w:color="auto"/>
      </w:divBdr>
    </w:div>
    <w:div w:id="332881340">
      <w:bodyDiv w:val="1"/>
      <w:marLeft w:val="0"/>
      <w:marRight w:val="0"/>
      <w:marTop w:val="0"/>
      <w:marBottom w:val="0"/>
      <w:divBdr>
        <w:top w:val="none" w:sz="0" w:space="0" w:color="auto"/>
        <w:left w:val="none" w:sz="0" w:space="0" w:color="auto"/>
        <w:bottom w:val="none" w:sz="0" w:space="0" w:color="auto"/>
        <w:right w:val="none" w:sz="0" w:space="0" w:color="auto"/>
      </w:divBdr>
    </w:div>
    <w:div w:id="467432425">
      <w:bodyDiv w:val="1"/>
      <w:marLeft w:val="0"/>
      <w:marRight w:val="0"/>
      <w:marTop w:val="0"/>
      <w:marBottom w:val="0"/>
      <w:divBdr>
        <w:top w:val="none" w:sz="0" w:space="0" w:color="auto"/>
        <w:left w:val="none" w:sz="0" w:space="0" w:color="auto"/>
        <w:bottom w:val="none" w:sz="0" w:space="0" w:color="auto"/>
        <w:right w:val="none" w:sz="0" w:space="0" w:color="auto"/>
      </w:divBdr>
    </w:div>
    <w:div w:id="1236552026">
      <w:bodyDiv w:val="1"/>
      <w:marLeft w:val="0"/>
      <w:marRight w:val="0"/>
      <w:marTop w:val="0"/>
      <w:marBottom w:val="0"/>
      <w:divBdr>
        <w:top w:val="none" w:sz="0" w:space="0" w:color="auto"/>
        <w:left w:val="none" w:sz="0" w:space="0" w:color="auto"/>
        <w:bottom w:val="none" w:sz="0" w:space="0" w:color="auto"/>
        <w:right w:val="none" w:sz="0" w:space="0" w:color="auto"/>
      </w:divBdr>
    </w:div>
    <w:div w:id="1349940544">
      <w:bodyDiv w:val="1"/>
      <w:marLeft w:val="0"/>
      <w:marRight w:val="0"/>
      <w:marTop w:val="0"/>
      <w:marBottom w:val="0"/>
      <w:divBdr>
        <w:top w:val="none" w:sz="0" w:space="0" w:color="auto"/>
        <w:left w:val="none" w:sz="0" w:space="0" w:color="auto"/>
        <w:bottom w:val="none" w:sz="0" w:space="0" w:color="auto"/>
        <w:right w:val="none" w:sz="0" w:space="0" w:color="auto"/>
      </w:divBdr>
    </w:div>
    <w:div w:id="1610234182">
      <w:bodyDiv w:val="1"/>
      <w:marLeft w:val="0"/>
      <w:marRight w:val="0"/>
      <w:marTop w:val="0"/>
      <w:marBottom w:val="0"/>
      <w:divBdr>
        <w:top w:val="none" w:sz="0" w:space="0" w:color="auto"/>
        <w:left w:val="none" w:sz="0" w:space="0" w:color="auto"/>
        <w:bottom w:val="none" w:sz="0" w:space="0" w:color="auto"/>
        <w:right w:val="none" w:sz="0" w:space="0" w:color="auto"/>
      </w:divBdr>
    </w:div>
    <w:div w:id="1680354243">
      <w:bodyDiv w:val="1"/>
      <w:marLeft w:val="0"/>
      <w:marRight w:val="0"/>
      <w:marTop w:val="0"/>
      <w:marBottom w:val="0"/>
      <w:divBdr>
        <w:top w:val="none" w:sz="0" w:space="0" w:color="auto"/>
        <w:left w:val="none" w:sz="0" w:space="0" w:color="auto"/>
        <w:bottom w:val="none" w:sz="0" w:space="0" w:color="auto"/>
        <w:right w:val="none" w:sz="0" w:space="0" w:color="auto"/>
      </w:divBdr>
    </w:div>
    <w:div w:id="1727560600">
      <w:bodyDiv w:val="1"/>
      <w:marLeft w:val="0"/>
      <w:marRight w:val="0"/>
      <w:marTop w:val="0"/>
      <w:marBottom w:val="0"/>
      <w:divBdr>
        <w:top w:val="none" w:sz="0" w:space="0" w:color="auto"/>
        <w:left w:val="none" w:sz="0" w:space="0" w:color="auto"/>
        <w:bottom w:val="none" w:sz="0" w:space="0" w:color="auto"/>
        <w:right w:val="none" w:sz="0" w:space="0" w:color="auto"/>
      </w:divBdr>
    </w:div>
    <w:div w:id="201086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xxxxxxxx@socomec.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ocom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ll%20Documents\Professional%20Documents\04_Corpo-Guidelines\template_press-release_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template_press-release_EN.dotx</Template>
  <TotalTime>0</TotalTime>
  <Pages>2</Pages>
  <Words>972</Words>
  <Characters>5546</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Marie</dc:creator>
  <cp:lastModifiedBy>MILAN Marie</cp:lastModifiedBy>
  <cp:revision>2</cp:revision>
  <cp:lastPrinted>2019-01-07T16:34:00Z</cp:lastPrinted>
  <dcterms:created xsi:type="dcterms:W3CDTF">2019-06-12T09:07:00Z</dcterms:created>
  <dcterms:modified xsi:type="dcterms:W3CDTF">2019-06-12T09:07:00Z</dcterms:modified>
</cp:coreProperties>
</file>